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2200">
      <w:pPr>
        <w:spacing w:line="600" w:lineRule="exact"/>
        <w:jc w:val="center"/>
        <w:outlineLvl w:val="0"/>
        <w:rPr>
          <w:rFonts w:ascii="方正小标宋简体" w:hAnsi="宋体" w:eastAsia="方正小标宋简体"/>
          <w:sz w:val="72"/>
          <w:szCs w:val="72"/>
        </w:rPr>
      </w:pPr>
      <w:bookmarkStart w:id="0" w:name="_Toc15306267"/>
    </w:p>
    <w:p w14:paraId="0C57F62C">
      <w:pPr>
        <w:spacing w:line="600" w:lineRule="exact"/>
        <w:jc w:val="center"/>
        <w:outlineLvl w:val="0"/>
        <w:rPr>
          <w:rFonts w:ascii="方正小标宋简体" w:hAnsi="宋体" w:eastAsia="方正小标宋简体"/>
          <w:sz w:val="72"/>
          <w:szCs w:val="72"/>
        </w:rPr>
      </w:pPr>
    </w:p>
    <w:p w14:paraId="5DB38641">
      <w:pPr>
        <w:spacing w:line="600" w:lineRule="exact"/>
        <w:jc w:val="center"/>
        <w:outlineLvl w:val="0"/>
        <w:rPr>
          <w:rFonts w:ascii="方正小标宋简体" w:hAnsi="宋体" w:eastAsia="方正小标宋简体"/>
          <w:sz w:val="72"/>
          <w:szCs w:val="72"/>
        </w:rPr>
      </w:pPr>
    </w:p>
    <w:p w14:paraId="0F57F079">
      <w:pPr>
        <w:spacing w:line="600" w:lineRule="exact"/>
        <w:jc w:val="center"/>
        <w:outlineLvl w:val="0"/>
        <w:rPr>
          <w:rFonts w:ascii="方正小标宋简体" w:hAnsi="宋体" w:eastAsia="方正小标宋简体"/>
          <w:sz w:val="72"/>
          <w:szCs w:val="72"/>
        </w:rPr>
      </w:pPr>
    </w:p>
    <w:p w14:paraId="715BF4F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13477774"/>
      <w:bookmarkStart w:id="3" w:name="_Toc15396475"/>
      <w:bookmarkStart w:id="4" w:name="_Toc15377193"/>
      <w:bookmarkStart w:id="5" w:name="_Toc119072245"/>
      <w:bookmarkStart w:id="6" w:name="_Toc119072774"/>
      <w:bookmarkStart w:id="7" w:name="_Toc119073703"/>
      <w:bookmarkStart w:id="8" w:name="_Toc15377425"/>
      <w:bookmarkStart w:id="9" w:name="_Toc119058852"/>
      <w:bookmarkStart w:id="10" w:name="_Toc15396597"/>
      <w:bookmarkStart w:id="11" w:name="_Toc119072878"/>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bookmarkEnd w:id="8"/>
      <w:bookmarkEnd w:id="9"/>
      <w:bookmarkEnd w:id="10"/>
      <w:bookmarkEnd w:id="11"/>
    </w:p>
    <w:bookmarkEnd w:id="0"/>
    <w:p w14:paraId="6370175D">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2" w:name="_Toc113477775"/>
      <w:bookmarkStart w:id="13" w:name="_Toc119058853"/>
      <w:bookmarkStart w:id="14" w:name="_Toc119072775"/>
      <w:bookmarkStart w:id="15" w:name="_Toc119073704"/>
      <w:bookmarkStart w:id="16" w:name="_Toc119072879"/>
      <w:bookmarkStart w:id="17" w:name="_Toc119072246"/>
      <w:bookmarkStart w:id="18" w:name="_Toc15396598"/>
      <w:bookmarkStart w:id="19" w:name="_Toc15396476"/>
      <w:bookmarkStart w:id="20" w:name="_Toc15378442"/>
      <w:bookmarkStart w:id="21" w:name="_Toc15306268"/>
      <w:bookmarkStart w:id="22" w:name="_Toc15377194"/>
      <w:bookmarkStart w:id="23" w:name="_Toc15377426"/>
      <w:r>
        <w:rPr>
          <w:rFonts w:hint="eastAsia" w:ascii="方正小标宋简体" w:hAnsi="方正小标宋简体" w:eastAsia="方正小标宋简体" w:cs="方正小标宋简体"/>
          <w:sz w:val="72"/>
          <w:szCs w:val="72"/>
        </w:rPr>
        <w:t>四川矿产机电技师学院</w:t>
      </w:r>
      <w:bookmarkEnd w:id="12"/>
      <w:bookmarkEnd w:id="13"/>
      <w:bookmarkEnd w:id="14"/>
      <w:bookmarkEnd w:id="15"/>
      <w:bookmarkEnd w:id="16"/>
      <w:bookmarkEnd w:id="17"/>
    </w:p>
    <w:p w14:paraId="5E8646E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24" w:name="_Toc113477776"/>
      <w:bookmarkStart w:id="25" w:name="_Toc119072247"/>
      <w:bookmarkStart w:id="26" w:name="_Toc119072880"/>
      <w:bookmarkStart w:id="27" w:name="_Toc119072776"/>
      <w:bookmarkStart w:id="28" w:name="_Toc119058854"/>
      <w:bookmarkStart w:id="29" w:name="_Toc119073705"/>
      <w:r>
        <w:rPr>
          <w:rFonts w:hint="eastAsia" w:ascii="方正小标宋简体" w:hAnsi="方正小标宋简体" w:eastAsia="方正小标宋简体" w:cs="方正小标宋简体"/>
          <w:sz w:val="72"/>
          <w:szCs w:val="72"/>
        </w:rPr>
        <w:t>单位决算</w:t>
      </w:r>
      <w:bookmarkEnd w:id="18"/>
      <w:bookmarkEnd w:id="19"/>
      <w:bookmarkEnd w:id="20"/>
      <w:bookmarkEnd w:id="21"/>
      <w:bookmarkEnd w:id="22"/>
      <w:bookmarkEnd w:id="23"/>
      <w:bookmarkEnd w:id="24"/>
      <w:bookmarkEnd w:id="25"/>
      <w:bookmarkEnd w:id="26"/>
      <w:bookmarkEnd w:id="27"/>
      <w:bookmarkEnd w:id="28"/>
      <w:bookmarkEnd w:id="29"/>
    </w:p>
    <w:p w14:paraId="65590E08">
      <w:pPr>
        <w:widowControl/>
        <w:jc w:val="center"/>
        <w:rPr>
          <w:rFonts w:ascii="方正小标宋简体" w:hAnsi="宋体" w:eastAsia="方正小标宋简体"/>
          <w:sz w:val="36"/>
          <w:szCs w:val="36"/>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ascii="方正小标宋简体" w:hAnsi="宋体" w:eastAsia="方正小标宋简体"/>
          <w:sz w:val="36"/>
          <w:szCs w:val="36"/>
        </w:rPr>
        <w:br w:type="page"/>
      </w:r>
    </w:p>
    <w:sdt>
      <w:sdtPr>
        <w:rPr>
          <w:rFonts w:ascii="黑体" w:hAnsi="黑体" w:eastAsia="黑体"/>
          <w:sz w:val="48"/>
          <w:szCs w:val="48"/>
        </w:rPr>
        <w:id w:val="1432079638"/>
        <w:docPartObj>
          <w:docPartGallery w:val="Table of Contents"/>
          <w:docPartUnique/>
        </w:docPartObj>
      </w:sdtPr>
      <w:sdtEndPr>
        <w:rPr>
          <w:rFonts w:ascii="仿宋" w:hAnsi="仿宋" w:eastAsia="仿宋"/>
          <w:b/>
          <w:bCs/>
          <w:sz w:val="28"/>
          <w:szCs w:val="28"/>
          <w:lang w:val="zh-CN"/>
        </w:rPr>
      </w:sdtEndPr>
      <w:sdtContent>
        <w:p w14:paraId="2BF731C5">
          <w:pPr>
            <w:widowControl/>
            <w:jc w:val="center"/>
            <w:rPr>
              <w:rFonts w:ascii="黑体" w:hAnsi="黑体" w:eastAsia="黑体"/>
              <w:sz w:val="48"/>
              <w:szCs w:val="48"/>
            </w:rPr>
          </w:pPr>
          <w:r>
            <w:rPr>
              <w:rFonts w:ascii="黑体" w:hAnsi="黑体" w:eastAsia="黑体"/>
              <w:sz w:val="48"/>
              <w:szCs w:val="48"/>
            </w:rPr>
            <w:t>目录</w:t>
          </w:r>
        </w:p>
        <w:p w14:paraId="15039096">
          <w:pPr>
            <w:widowControl/>
            <w:jc w:val="center"/>
            <w:rPr>
              <w:rFonts w:ascii="黑体" w:hAnsi="黑体" w:eastAsia="黑体" w:cstheme="minorBidi"/>
              <w:sz w:val="28"/>
              <w:szCs w:val="28"/>
            </w:rPr>
          </w:pPr>
        </w:p>
        <w:p w14:paraId="24CC8C2B">
          <w:pPr>
            <w:pStyle w:val="10"/>
          </w:pPr>
          <w:r>
            <w:rPr>
              <w:rFonts w:hint="eastAsia"/>
            </w:rPr>
            <w:t>公开时间：2022年9月9日</w:t>
          </w:r>
        </w:p>
        <w:p w14:paraId="5DE637F8">
          <w:pPr>
            <w:pStyle w:val="10"/>
            <w:spacing w:line="640" w:lineRule="exact"/>
            <w:rPr>
              <w:rFonts w:asciiTheme="minorHAnsi" w:hAnsiTheme="minorHAnsi" w:eastAsiaTheme="minorEastAsia" w:cstheme="minorBidi"/>
              <w:sz w:val="21"/>
              <w:szCs w:val="22"/>
            </w:rPr>
          </w:pPr>
          <w:r>
            <w:rPr>
              <w:sz w:val="24"/>
            </w:rPr>
            <w:fldChar w:fldCharType="begin"/>
          </w:r>
          <w:r>
            <w:rPr>
              <w:sz w:val="24"/>
            </w:rPr>
            <w:instrText xml:space="preserve"> TOC \o "1-3" \h \z \u </w:instrText>
          </w:r>
          <w:r>
            <w:rPr>
              <w:sz w:val="24"/>
            </w:rPr>
            <w:fldChar w:fldCharType="separate"/>
          </w:r>
        </w:p>
        <w:p w14:paraId="33C1B946">
          <w:pPr>
            <w:pStyle w:val="10"/>
            <w:spacing w:line="640" w:lineRule="exact"/>
            <w:rPr>
              <w:rFonts w:asciiTheme="minorHAnsi" w:hAnsiTheme="minorHAnsi" w:eastAsiaTheme="minorEastAsia" w:cstheme="minorBidi"/>
              <w:sz w:val="21"/>
              <w:szCs w:val="22"/>
            </w:rPr>
          </w:pPr>
          <w:r>
            <w:fldChar w:fldCharType="begin"/>
          </w:r>
          <w:r>
            <w:instrText xml:space="preserve"> HYPERLINK \l "_Toc119073706" </w:instrText>
          </w:r>
          <w:r>
            <w:fldChar w:fldCharType="separate"/>
          </w:r>
          <w:r>
            <w:rPr>
              <w:rStyle w:val="15"/>
              <w:rFonts w:ascii="黑体" w:hAnsi="黑体" w:eastAsia="黑体"/>
            </w:rPr>
            <w:t>第一部分 单位概况</w:t>
          </w:r>
          <w:r>
            <w:tab/>
          </w:r>
          <w:r>
            <w:fldChar w:fldCharType="begin"/>
          </w:r>
          <w:r>
            <w:instrText xml:space="preserve"> PAGEREF _Toc119073706 \h </w:instrText>
          </w:r>
          <w:r>
            <w:fldChar w:fldCharType="separate"/>
          </w:r>
          <w:r>
            <w:t>1</w:t>
          </w:r>
          <w:r>
            <w:fldChar w:fldCharType="end"/>
          </w:r>
          <w:r>
            <w:fldChar w:fldCharType="end"/>
          </w:r>
        </w:p>
        <w:p w14:paraId="19A10A67">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"_Toc119073707" </w:instrText>
          </w:r>
          <w:r>
            <w:fldChar w:fldCharType="separate"/>
          </w:r>
          <w:r>
            <w:rPr>
              <w:rStyle w:val="15"/>
              <w:rFonts w:ascii="仿宋" w:hAnsi="仿宋" w:eastAsia="仿宋"/>
            </w:rPr>
            <w:t>一、职能简介</w:t>
          </w:r>
          <w:r>
            <w:tab/>
          </w:r>
          <w:r>
            <w:fldChar w:fldCharType="begin"/>
          </w:r>
          <w:r>
            <w:instrText xml:space="preserve"> PAGEREF _Toc119073707 \h </w:instrText>
          </w:r>
          <w:r>
            <w:fldChar w:fldCharType="separate"/>
          </w:r>
          <w:r>
            <w:t>1</w:t>
          </w:r>
          <w:r>
            <w:fldChar w:fldCharType="end"/>
          </w:r>
          <w:r>
            <w:fldChar w:fldCharType="end"/>
          </w:r>
        </w:p>
        <w:p w14:paraId="46A05EEB">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"_Toc119073708" </w:instrText>
          </w:r>
          <w:r>
            <w:fldChar w:fldCharType="separate"/>
          </w:r>
          <w:r>
            <w:rPr>
              <w:rStyle w:val="15"/>
              <w:rFonts w:ascii="仿宋" w:hAnsi="仿宋" w:eastAsia="仿宋"/>
            </w:rPr>
            <w:t>二、2021年重点工作完成情况</w:t>
          </w:r>
          <w:r>
            <w:tab/>
          </w:r>
          <w:r>
            <w:fldChar w:fldCharType="begin"/>
          </w:r>
          <w:r>
            <w:instrText xml:space="preserve"> PAGEREF _Toc119073708 \h </w:instrText>
          </w:r>
          <w:r>
            <w:fldChar w:fldCharType="separate"/>
          </w:r>
          <w:r>
            <w:t>1</w:t>
          </w:r>
          <w:r>
            <w:fldChar w:fldCharType="end"/>
          </w:r>
          <w:r>
            <w:fldChar w:fldCharType="end"/>
          </w:r>
        </w:p>
        <w:p w14:paraId="3B4D4181">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"_Toc119073709" </w:instrText>
          </w:r>
          <w:r>
            <w:fldChar w:fldCharType="separate"/>
          </w:r>
          <w:r>
            <w:rPr>
              <w:rStyle w:val="15"/>
              <w:rFonts w:ascii="仿宋" w:hAnsi="仿宋" w:eastAsia="仿宋"/>
            </w:rPr>
            <w:t>三、机构设置情况</w:t>
          </w:r>
          <w:r>
            <w:tab/>
          </w:r>
          <w:r>
            <w:fldChar w:fldCharType="begin"/>
          </w:r>
          <w:r>
            <w:instrText xml:space="preserve"> PAGEREF _Toc119073709 \h </w:instrText>
          </w:r>
          <w:r>
            <w:fldChar w:fldCharType="separate"/>
          </w:r>
          <w:r>
            <w:t>9</w:t>
          </w:r>
          <w:r>
            <w:fldChar w:fldCharType="end"/>
          </w:r>
          <w:r>
            <w:fldChar w:fldCharType="end"/>
          </w:r>
        </w:p>
        <w:p w14:paraId="647D6EA3">
          <w:pPr>
            <w:pStyle w:val="10"/>
            <w:spacing w:line="640" w:lineRule="exact"/>
            <w:rPr>
              <w:rFonts w:asciiTheme="minorHAnsi" w:hAnsiTheme="minorHAnsi" w:eastAsiaTheme="minorEastAsia" w:cstheme="minorBidi"/>
              <w:sz w:val="21"/>
              <w:szCs w:val="22"/>
            </w:rPr>
          </w:pPr>
          <w:r>
            <w:fldChar w:fldCharType="begin"/>
          </w:r>
          <w:r>
            <w:instrText xml:space="preserve"> HYPERLINK \l "_Toc119073710" </w:instrText>
          </w:r>
          <w:r>
            <w:fldChar w:fldCharType="separate"/>
          </w:r>
          <w:r>
            <w:rPr>
              <w:rStyle w:val="15"/>
              <w:rFonts w:ascii="黑体" w:hAnsi="黑体" w:eastAsia="黑体"/>
            </w:rPr>
            <w:t>第二部分 2021年度单位决算情况说明</w:t>
          </w:r>
          <w:r>
            <w:tab/>
          </w:r>
          <w:r>
            <w:fldChar w:fldCharType="begin"/>
          </w:r>
          <w:r>
            <w:instrText xml:space="preserve"> PAGEREF _Toc119073710 \h </w:instrText>
          </w:r>
          <w:r>
            <w:fldChar w:fldCharType="separate"/>
          </w:r>
          <w:r>
            <w:t>10</w:t>
          </w:r>
          <w:r>
            <w:fldChar w:fldCharType="end"/>
          </w:r>
          <w:r>
            <w:fldChar w:fldCharType="end"/>
          </w:r>
        </w:p>
        <w:p w14:paraId="607200F3">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"_Toc119073711" </w:instrText>
          </w:r>
          <w:r>
            <w:fldChar w:fldCharType="separate"/>
          </w:r>
          <w:r>
            <w:rPr>
              <w:rStyle w:val="15"/>
              <w:rFonts w:ascii="仿宋" w:hAnsi="仿宋" w:eastAsia="仿宋"/>
            </w:rPr>
            <w:t>一、收入支出决算总体情况说明</w:t>
          </w:r>
          <w:r>
            <w:tab/>
          </w:r>
          <w:r>
            <w:fldChar w:fldCharType="begin"/>
          </w:r>
          <w:r>
            <w:instrText xml:space="preserve"> PAGEREF _Toc119073711 \h </w:instrText>
          </w:r>
          <w:r>
            <w:fldChar w:fldCharType="separate"/>
          </w:r>
          <w:r>
            <w:t>10</w:t>
          </w:r>
          <w:r>
            <w:fldChar w:fldCharType="end"/>
          </w:r>
          <w:r>
            <w:fldChar w:fldCharType="end"/>
          </w:r>
        </w:p>
        <w:p w14:paraId="5252B3D1">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"_Toc119073712" </w:instrText>
          </w:r>
          <w:r>
            <w:fldChar w:fldCharType="separate"/>
          </w:r>
          <w:r>
            <w:rPr>
              <w:rStyle w:val="15"/>
              <w:rFonts w:ascii="仿宋" w:hAnsi="仿宋" w:eastAsia="仿宋"/>
            </w:rPr>
            <w:t>二、收入决算情况说明</w:t>
          </w:r>
          <w:r>
            <w:tab/>
          </w:r>
          <w:r>
            <w:fldChar w:fldCharType="begin"/>
          </w:r>
          <w:r>
            <w:instrText xml:space="preserve"> PAGEREF _Toc119073712 \h </w:instrText>
          </w:r>
          <w:r>
            <w:fldChar w:fldCharType="separate"/>
          </w:r>
          <w:r>
            <w:t>10</w:t>
          </w:r>
          <w:r>
            <w:fldChar w:fldCharType="end"/>
          </w:r>
          <w:r>
            <w:fldChar w:fldCharType="end"/>
          </w:r>
        </w:p>
        <w:p w14:paraId="74BF2424">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"_Toc119073714" </w:instrText>
          </w:r>
          <w:r>
            <w:fldChar w:fldCharType="separate"/>
          </w:r>
          <w:r>
            <w:rPr>
              <w:rStyle w:val="15"/>
              <w:rFonts w:ascii="仿宋" w:hAnsi="仿宋" w:eastAsia="仿宋"/>
            </w:rPr>
            <w:t>三、支出决算情况说明</w:t>
          </w:r>
          <w:r>
            <w:tab/>
          </w:r>
          <w:r>
            <w:fldChar w:fldCharType="begin"/>
          </w:r>
          <w:r>
            <w:instrText xml:space="preserve"> PAGEREF _Toc119073714 \h </w:instrText>
          </w:r>
          <w:r>
            <w:fldChar w:fldCharType="separate"/>
          </w:r>
          <w:r>
            <w:t>11</w:t>
          </w:r>
          <w:r>
            <w:fldChar w:fldCharType="end"/>
          </w:r>
          <w:r>
            <w:fldChar w:fldCharType="end"/>
          </w:r>
        </w:p>
        <w:p w14:paraId="078F368C">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"_Toc119073717" </w:instrText>
          </w:r>
          <w:r>
            <w:fldChar w:fldCharType="separate"/>
          </w:r>
          <w:r>
            <w:rPr>
              <w:rStyle w:val="15"/>
              <w:rFonts w:ascii="仿宋" w:hAnsi="仿宋" w:eastAsia="仿宋"/>
            </w:rPr>
            <w:t>五、一般公共预算财政拨款支出决算情况说明</w:t>
          </w:r>
          <w:r>
            <w:tab/>
          </w:r>
          <w:r>
            <w:fldChar w:fldCharType="begin"/>
          </w:r>
          <w:r>
            <w:instrText xml:space="preserve"> PAGEREF _Toc119073717 \h </w:instrText>
          </w:r>
          <w:r>
            <w:fldChar w:fldCharType="separate"/>
          </w:r>
          <w:r>
            <w:t>13</w:t>
          </w:r>
          <w:r>
            <w:fldChar w:fldCharType="end"/>
          </w:r>
          <w:r>
            <w:fldChar w:fldCharType="end"/>
          </w:r>
        </w:p>
        <w:p w14:paraId="1BE3D67F">
          <w:pPr>
            <w:pStyle w:val="11"/>
            <w:spacing w:line="640" w:lineRule="exact"/>
            <w:rPr>
              <w:rFonts w:asciiTheme="minorHAnsi" w:hAnsiTheme="minorHAnsi" w:eastAsiaTheme="minorEastAsia" w:cstheme="minorBidi"/>
              <w:szCs w:val="22"/>
            </w:rPr>
          </w:pPr>
          <w:r>
            <w:fldChar w:fldCharType="begin"/>
          </w:r>
          <w:r>
            <w:instrText xml:space="preserve"> HYPERLINK \l "_Toc119073722" </w:instrText>
          </w:r>
          <w:r>
            <w:fldChar w:fldCharType="separate"/>
          </w:r>
          <w:r>
            <w:rPr>
              <w:rStyle w:val="15"/>
              <w:rFonts w:ascii="仿宋" w:hAnsi="仿宋" w:eastAsia="仿宋"/>
            </w:rPr>
            <w:t>六、一般公共预算财政拨款基本支出决算情况说明</w:t>
          </w:r>
          <w:r>
            <w:tab/>
          </w:r>
          <w:r>
            <w:fldChar w:fldCharType="begin"/>
          </w:r>
          <w:r>
            <w:instrText xml:space="preserve"> PAGEREF _Toc119073722 \h </w:instrText>
          </w:r>
          <w:r>
            <w:fldChar w:fldCharType="separate"/>
          </w:r>
          <w:r>
            <w:t>14</w:t>
          </w:r>
          <w:r>
            <w:fldChar w:fldCharType="end"/>
          </w:r>
          <w:r>
            <w:fldChar w:fldCharType="end"/>
          </w:r>
        </w:p>
        <w:p w14:paraId="623D9481">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"_Toc119073723" </w:instrText>
          </w:r>
          <w:r>
            <w:fldChar w:fldCharType="separate"/>
          </w:r>
          <w:r>
            <w:rPr>
              <w:rStyle w:val="15"/>
              <w:rFonts w:ascii="仿宋" w:hAnsi="仿宋" w:eastAsia="仿宋"/>
            </w:rPr>
            <w:t>七、 “三公”经费财政拨款支出决算情况说明</w:t>
          </w:r>
          <w:r>
            <w:tab/>
          </w:r>
          <w:r>
            <w:fldChar w:fldCharType="begin"/>
          </w:r>
          <w:r>
            <w:instrText xml:space="preserve"> PAGEREF _Toc119073723 \h </w:instrText>
          </w:r>
          <w:r>
            <w:fldChar w:fldCharType="separate"/>
          </w:r>
          <w:r>
            <w:t>15</w:t>
          </w:r>
          <w:r>
            <w:fldChar w:fldCharType="end"/>
          </w:r>
          <w:r>
            <w:fldChar w:fldCharType="end"/>
          </w:r>
        </w:p>
        <w:p w14:paraId="759D0ACE">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"_Toc119073726" </w:instrText>
          </w:r>
          <w:r>
            <w:fldChar w:fldCharType="separate"/>
          </w:r>
          <w:r>
            <w:rPr>
              <w:rStyle w:val="15"/>
              <w:rFonts w:ascii="仿宋" w:hAnsi="仿宋" w:eastAsia="仿宋"/>
            </w:rPr>
            <w:t>八、政府性基金预算支出决算情况说明</w:t>
          </w:r>
          <w:r>
            <w:tab/>
          </w:r>
          <w:r>
            <w:fldChar w:fldCharType="begin"/>
          </w:r>
          <w:r>
            <w:instrText xml:space="preserve"> PAGEREF _Toc119073726 \h </w:instrText>
          </w:r>
          <w:r>
            <w:fldChar w:fldCharType="separate"/>
          </w:r>
          <w:r>
            <w:t>16</w:t>
          </w:r>
          <w:r>
            <w:fldChar w:fldCharType="end"/>
          </w:r>
          <w:r>
            <w:fldChar w:fldCharType="end"/>
          </w:r>
        </w:p>
        <w:p w14:paraId="280C9FD8">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"_Toc119073727" </w:instrText>
          </w:r>
          <w:r>
            <w:fldChar w:fldCharType="separate"/>
          </w:r>
          <w:r>
            <w:rPr>
              <w:rStyle w:val="15"/>
              <w:rFonts w:ascii="仿宋" w:hAnsi="仿宋" w:eastAsia="仿宋"/>
            </w:rPr>
            <w:t>九、国有资本经营预算支出决算情况说明</w:t>
          </w:r>
          <w:r>
            <w:tab/>
          </w:r>
          <w:r>
            <w:fldChar w:fldCharType="begin"/>
          </w:r>
          <w:r>
            <w:instrText xml:space="preserve"> PAGEREF _Toc119073727 \h </w:instrText>
          </w:r>
          <w:r>
            <w:fldChar w:fldCharType="separate"/>
          </w:r>
          <w:r>
            <w:t>16</w:t>
          </w:r>
          <w:r>
            <w:fldChar w:fldCharType="end"/>
          </w:r>
          <w:r>
            <w:fldChar w:fldCharType="end"/>
          </w:r>
        </w:p>
        <w:p w14:paraId="5E46A393">
          <w:pPr>
            <w:pStyle w:val="11"/>
            <w:tabs>
              <w:tab w:val="left" w:pos="1260"/>
            </w:tabs>
            <w:spacing w:line="640" w:lineRule="exact"/>
            <w:rPr>
              <w:rFonts w:asciiTheme="minorHAnsi" w:hAnsiTheme="minorHAnsi" w:eastAsiaTheme="minorEastAsia" w:cstheme="minorBidi"/>
              <w:szCs w:val="22"/>
            </w:rPr>
          </w:pPr>
          <w:r>
            <w:fldChar w:fldCharType="begin"/>
          </w:r>
          <w:r>
            <w:instrText xml:space="preserve"> HYPERLINK \l "_Toc119073728" </w:instrText>
          </w:r>
          <w:r>
            <w:fldChar w:fldCharType="separate"/>
          </w:r>
          <w:r>
            <w:rPr>
              <w:rStyle w:val="15"/>
              <w:rFonts w:ascii="仿宋" w:hAnsi="仿宋" w:eastAsia="仿宋"/>
            </w:rPr>
            <w:t>十、其他重要事项的情况说明</w:t>
          </w:r>
          <w:r>
            <w:tab/>
          </w:r>
          <w:r>
            <w:fldChar w:fldCharType="begin"/>
          </w:r>
          <w:r>
            <w:instrText xml:space="preserve"> PAGEREF _Toc119073728 \h </w:instrText>
          </w:r>
          <w:r>
            <w:fldChar w:fldCharType="separate"/>
          </w:r>
          <w:r>
            <w:t>16</w:t>
          </w:r>
          <w:r>
            <w:fldChar w:fldCharType="end"/>
          </w:r>
          <w:r>
            <w:fldChar w:fldCharType="end"/>
          </w:r>
        </w:p>
        <w:p w14:paraId="02CE4BC1">
          <w:pPr>
            <w:pStyle w:val="10"/>
            <w:spacing w:line="640" w:lineRule="exact"/>
            <w:rPr>
              <w:rFonts w:asciiTheme="minorHAnsi" w:hAnsiTheme="minorHAnsi" w:eastAsiaTheme="minorEastAsia" w:cstheme="minorBidi"/>
              <w:sz w:val="21"/>
              <w:szCs w:val="22"/>
            </w:rPr>
          </w:pPr>
          <w:r>
            <w:fldChar w:fldCharType="begin"/>
          </w:r>
          <w:r>
            <w:instrText xml:space="preserve"> HYPERLINK \l "_Toc119073732" </w:instrText>
          </w:r>
          <w:r>
            <w:fldChar w:fldCharType="separate"/>
          </w:r>
          <w:r>
            <w:rPr>
              <w:rStyle w:val="15"/>
              <w:rFonts w:ascii="黑体" w:hAnsi="黑体" w:eastAsia="黑体" w:cs="黑体"/>
              <w:bCs/>
              <w:kern w:val="44"/>
            </w:rPr>
            <w:t>第三部分</w:t>
          </w:r>
          <w:r>
            <w:rPr>
              <w:rStyle w:val="15"/>
              <w:rFonts w:ascii="黑体" w:hAnsi="黑体" w:eastAsia="黑体"/>
            </w:rPr>
            <w:t xml:space="preserve"> 名</w:t>
          </w:r>
          <w:r>
            <w:rPr>
              <w:rStyle w:val="15"/>
              <w:rFonts w:ascii="黑体" w:hAnsi="黑体" w:eastAsia="黑体"/>
              <w:bCs/>
              <w:kern w:val="44"/>
            </w:rPr>
            <w:t>词解释</w:t>
          </w:r>
          <w:r>
            <w:tab/>
          </w:r>
          <w:r>
            <w:fldChar w:fldCharType="begin"/>
          </w:r>
          <w:r>
            <w:instrText xml:space="preserve"> PAGEREF _Toc119073732 \h </w:instrText>
          </w:r>
          <w:r>
            <w:fldChar w:fldCharType="separate"/>
          </w:r>
          <w:r>
            <w:t>18</w:t>
          </w:r>
          <w:r>
            <w:fldChar w:fldCharType="end"/>
          </w:r>
          <w:r>
            <w:fldChar w:fldCharType="end"/>
          </w:r>
        </w:p>
        <w:p w14:paraId="319A3907">
          <w:pPr>
            <w:pStyle w:val="10"/>
            <w:spacing w:line="640" w:lineRule="exact"/>
            <w:rPr>
              <w:rFonts w:asciiTheme="minorHAnsi" w:hAnsiTheme="minorHAnsi" w:eastAsiaTheme="minorEastAsia" w:cstheme="minorBidi"/>
              <w:sz w:val="21"/>
              <w:szCs w:val="22"/>
            </w:rPr>
          </w:pPr>
          <w:r>
            <w:fldChar w:fldCharType="begin"/>
          </w:r>
          <w:r>
            <w:instrText xml:space="preserve"> HYPERLINK \l "_Toc119073733" </w:instrText>
          </w:r>
          <w:r>
            <w:fldChar w:fldCharType="separate"/>
          </w:r>
          <w:r>
            <w:rPr>
              <w:rStyle w:val="15"/>
              <w:rFonts w:ascii="黑体" w:hAnsi="黑体" w:eastAsia="黑体"/>
            </w:rPr>
            <w:t>第</w:t>
          </w:r>
          <w:r>
            <w:rPr>
              <w:rStyle w:val="15"/>
              <w:rFonts w:ascii="黑体" w:hAnsi="黑体" w:eastAsia="黑体"/>
              <w:bCs/>
              <w:kern w:val="44"/>
            </w:rPr>
            <w:t>四部分 附件</w:t>
          </w:r>
          <w:r>
            <w:tab/>
          </w:r>
          <w:r>
            <w:fldChar w:fldCharType="begin"/>
          </w:r>
          <w:r>
            <w:instrText xml:space="preserve"> PAGEREF _Toc119073733 \h </w:instrText>
          </w:r>
          <w:r>
            <w:fldChar w:fldCharType="separate"/>
          </w:r>
          <w:r>
            <w:t>20</w:t>
          </w:r>
          <w:r>
            <w:fldChar w:fldCharType="end"/>
          </w:r>
          <w:r>
            <w:fldChar w:fldCharType="end"/>
          </w:r>
        </w:p>
        <w:p w14:paraId="24CED05F">
          <w:pPr>
            <w:pStyle w:val="10"/>
            <w:spacing w:line="640" w:lineRule="exact"/>
            <w:rPr>
              <w:rFonts w:asciiTheme="minorHAnsi" w:hAnsiTheme="minorHAnsi" w:eastAsiaTheme="minorEastAsia" w:cstheme="minorBidi"/>
              <w:sz w:val="21"/>
              <w:szCs w:val="22"/>
            </w:rPr>
          </w:pPr>
          <w:r>
            <w:fldChar w:fldCharType="begin"/>
          </w:r>
          <w:r>
            <w:instrText xml:space="preserve"> HYPERLINK \l "_Toc119073736" </w:instrText>
          </w:r>
          <w:r>
            <w:fldChar w:fldCharType="separate"/>
          </w:r>
          <w:r>
            <w:rPr>
              <w:rStyle w:val="15"/>
              <w:rFonts w:ascii="黑体" w:hAnsi="黑体" w:eastAsia="黑体"/>
            </w:rPr>
            <w:t>第</w:t>
          </w:r>
          <w:r>
            <w:rPr>
              <w:rStyle w:val="15"/>
              <w:rFonts w:ascii="黑体" w:hAnsi="黑体" w:eastAsia="黑体"/>
              <w:bCs/>
              <w:kern w:val="44"/>
            </w:rPr>
            <w:t>五部分 附表</w:t>
          </w:r>
          <w:r>
            <w:tab/>
          </w:r>
          <w:r>
            <w:fldChar w:fldCharType="begin"/>
          </w:r>
          <w:r>
            <w:instrText xml:space="preserve"> PAGEREF _Toc119073736 \h </w:instrText>
          </w:r>
          <w:r>
            <w:fldChar w:fldCharType="separate"/>
          </w:r>
          <w:r>
            <w:t>22</w:t>
          </w:r>
          <w:r>
            <w:fldChar w:fldCharType="end"/>
          </w:r>
          <w:r>
            <w:fldChar w:fldCharType="end"/>
          </w:r>
        </w:p>
        <w:p w14:paraId="519F7989">
          <w:pPr>
            <w:pStyle w:val="11"/>
            <w:tabs>
              <w:tab w:val="left" w:pos="1260"/>
            </w:tabs>
            <w:spacing w:line="640" w:lineRule="exact"/>
            <w:rPr>
              <w:rStyle w:val="15"/>
              <w:rFonts w:ascii="仿宋" w:hAnsi="仿宋" w:eastAsia="仿宋"/>
            </w:rPr>
          </w:pPr>
          <w:r>
            <w:fldChar w:fldCharType="begin"/>
          </w:r>
          <w:r>
            <w:instrText xml:space="preserve"> HYPERLINK \l "_Toc119073737" </w:instrText>
          </w:r>
          <w:r>
            <w:fldChar w:fldCharType="separate"/>
          </w:r>
          <w:r>
            <w:rPr>
              <w:rStyle w:val="15"/>
              <w:rFonts w:ascii="仿宋" w:hAnsi="仿宋" w:eastAsia="仿宋"/>
            </w:rPr>
            <w:t>一、收入支出决算总表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_Toc119073737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626C5B1C">
          <w:pPr>
            <w:pStyle w:val="11"/>
            <w:tabs>
              <w:tab w:val="left" w:pos="1260"/>
            </w:tabs>
            <w:spacing w:line="640" w:lineRule="exact"/>
            <w:rPr>
              <w:rStyle w:val="15"/>
              <w:rFonts w:ascii="仿宋" w:hAnsi="仿宋" w:eastAsia="仿宋"/>
            </w:rPr>
          </w:pPr>
          <w:r>
            <w:fldChar w:fldCharType="begin"/>
          </w:r>
          <w:r>
            <w:instrText xml:space="preserve"> HYPERLINK \l "_Toc119073738" </w:instrText>
          </w:r>
          <w:r>
            <w:fldChar w:fldCharType="separate"/>
          </w:r>
          <w:r>
            <w:rPr>
              <w:rStyle w:val="15"/>
              <w:rFonts w:ascii="仿宋" w:hAnsi="仿宋" w:eastAsia="仿宋"/>
            </w:rPr>
            <w:t>二、收入决算表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_Toc119073738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78846CD2">
          <w:pPr>
            <w:pStyle w:val="11"/>
            <w:tabs>
              <w:tab w:val="left" w:pos="1260"/>
            </w:tabs>
            <w:spacing w:line="640" w:lineRule="exact"/>
            <w:rPr>
              <w:rStyle w:val="15"/>
              <w:rFonts w:ascii="仿宋" w:hAnsi="仿宋" w:eastAsia="仿宋"/>
            </w:rPr>
          </w:pPr>
          <w:r>
            <w:fldChar w:fldCharType="begin"/>
          </w:r>
          <w:r>
            <w:instrText xml:space="preserve"> HYPERLINK \l "_Toc119073739" </w:instrText>
          </w:r>
          <w:r>
            <w:fldChar w:fldCharType="separate"/>
          </w:r>
          <w:r>
            <w:rPr>
              <w:rStyle w:val="15"/>
              <w:rFonts w:ascii="仿宋" w:hAnsi="仿宋" w:eastAsia="仿宋"/>
            </w:rPr>
            <w:t>三、支出决算表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_Toc119073739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654D529F">
          <w:pPr>
            <w:pStyle w:val="11"/>
            <w:tabs>
              <w:tab w:val="left" w:pos="1260"/>
            </w:tabs>
            <w:spacing w:line="640" w:lineRule="exact"/>
            <w:rPr>
              <w:rStyle w:val="15"/>
              <w:rFonts w:ascii="仿宋" w:hAnsi="仿宋" w:eastAsia="仿宋"/>
            </w:rPr>
          </w:pPr>
          <w:r>
            <w:fldChar w:fldCharType="begin"/>
          </w:r>
          <w:r>
            <w:instrText xml:space="preserve"> HYPERLINK \l "_Toc119073740" </w:instrText>
          </w:r>
          <w:r>
            <w:fldChar w:fldCharType="separate"/>
          </w:r>
          <w:r>
            <w:rPr>
              <w:rStyle w:val="15"/>
              <w:rFonts w:ascii="仿宋" w:hAnsi="仿宋" w:eastAsia="仿宋"/>
            </w:rPr>
            <w:t>四、财政拨款收入支出决算总表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_Toc119073740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18AE9A87">
          <w:pPr>
            <w:pStyle w:val="11"/>
            <w:tabs>
              <w:tab w:val="left" w:pos="1260"/>
            </w:tabs>
            <w:spacing w:line="640" w:lineRule="exact"/>
            <w:rPr>
              <w:rStyle w:val="15"/>
              <w:rFonts w:ascii="仿宋" w:hAnsi="仿宋" w:eastAsia="仿宋"/>
            </w:rPr>
          </w:pPr>
          <w:r>
            <w:fldChar w:fldCharType="begin"/>
          </w:r>
          <w:r>
            <w:instrText xml:space="preserve"> HYPERLINK \l "_Toc119073741" </w:instrText>
          </w:r>
          <w:r>
            <w:fldChar w:fldCharType="separate"/>
          </w:r>
          <w:r>
            <w:rPr>
              <w:rStyle w:val="15"/>
              <w:rFonts w:ascii="仿宋" w:hAnsi="仿宋" w:eastAsia="仿宋"/>
            </w:rPr>
            <w:t>五、财政拨款支出决算明细表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_Toc119073741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486A573C">
          <w:pPr>
            <w:pStyle w:val="11"/>
            <w:tabs>
              <w:tab w:val="left" w:pos="1260"/>
            </w:tabs>
            <w:spacing w:line="640" w:lineRule="exact"/>
            <w:rPr>
              <w:rStyle w:val="15"/>
              <w:rFonts w:ascii="仿宋" w:hAnsi="仿宋" w:eastAsia="仿宋"/>
            </w:rPr>
          </w:pPr>
          <w:r>
            <w:fldChar w:fldCharType="begin"/>
          </w:r>
          <w:r>
            <w:instrText xml:space="preserve"> HYPERLINK \l "_Toc119073742" </w:instrText>
          </w:r>
          <w:r>
            <w:fldChar w:fldCharType="separate"/>
          </w:r>
          <w:r>
            <w:rPr>
              <w:rStyle w:val="15"/>
              <w:rFonts w:ascii="仿宋" w:hAnsi="仿宋" w:eastAsia="仿宋"/>
            </w:rPr>
            <w:t>六、一般公共预算财政拨款支出决算表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_Toc119073742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466E16A0">
          <w:pPr>
            <w:pStyle w:val="11"/>
            <w:tabs>
              <w:tab w:val="left" w:pos="1260"/>
            </w:tabs>
            <w:spacing w:line="640" w:lineRule="exact"/>
            <w:rPr>
              <w:rStyle w:val="15"/>
              <w:rFonts w:ascii="仿宋" w:hAnsi="仿宋" w:eastAsia="仿宋"/>
            </w:rPr>
          </w:pPr>
          <w:r>
            <w:fldChar w:fldCharType="begin"/>
          </w:r>
          <w:r>
            <w:instrText xml:space="preserve"> HYPERLINK \l "_Toc119073743" </w:instrText>
          </w:r>
          <w:r>
            <w:fldChar w:fldCharType="separate"/>
          </w:r>
          <w:r>
            <w:rPr>
              <w:rStyle w:val="15"/>
              <w:rFonts w:ascii="仿宋" w:hAnsi="仿宋" w:eastAsia="仿宋"/>
            </w:rPr>
            <w:t>七、一般公共预算财政拨款支出决算明细表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_Toc119073743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40AB05D0">
          <w:pPr>
            <w:pStyle w:val="11"/>
            <w:tabs>
              <w:tab w:val="left" w:pos="1260"/>
            </w:tabs>
            <w:spacing w:line="640" w:lineRule="exact"/>
            <w:rPr>
              <w:rStyle w:val="15"/>
              <w:rFonts w:ascii="仿宋" w:hAnsi="仿宋" w:eastAsia="仿宋"/>
            </w:rPr>
          </w:pPr>
          <w:r>
            <w:fldChar w:fldCharType="begin"/>
          </w:r>
          <w:r>
            <w:instrText xml:space="preserve"> HYPERLINK \l "_Toc119073744" </w:instrText>
          </w:r>
          <w:r>
            <w:fldChar w:fldCharType="separate"/>
          </w:r>
          <w:r>
            <w:rPr>
              <w:rStyle w:val="15"/>
              <w:rFonts w:ascii="仿宋" w:hAnsi="仿宋" w:eastAsia="仿宋"/>
            </w:rPr>
            <w:t>八、一般公共预算财政拨款基本支出决算表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_Toc119073744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1496E3F3">
          <w:pPr>
            <w:pStyle w:val="11"/>
            <w:tabs>
              <w:tab w:val="left" w:pos="1260"/>
            </w:tabs>
            <w:spacing w:line="640" w:lineRule="exact"/>
            <w:rPr>
              <w:rStyle w:val="15"/>
              <w:rFonts w:ascii="仿宋" w:hAnsi="仿宋" w:eastAsia="仿宋"/>
            </w:rPr>
          </w:pPr>
          <w:r>
            <w:fldChar w:fldCharType="begin"/>
          </w:r>
          <w:r>
            <w:instrText xml:space="preserve"> HYPERLINK \l "_Toc119073745" </w:instrText>
          </w:r>
          <w:r>
            <w:fldChar w:fldCharType="separate"/>
          </w:r>
          <w:r>
            <w:rPr>
              <w:rStyle w:val="15"/>
              <w:rFonts w:ascii="仿宋" w:hAnsi="仿宋" w:eastAsia="仿宋"/>
            </w:rPr>
            <w:t>九、一般公共预算财政拨款项目支出决算表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_Toc119073745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412BFAEF">
          <w:pPr>
            <w:pStyle w:val="11"/>
            <w:tabs>
              <w:tab w:val="left" w:pos="1260"/>
            </w:tabs>
            <w:spacing w:line="640" w:lineRule="exact"/>
            <w:rPr>
              <w:rStyle w:val="15"/>
              <w:rFonts w:ascii="仿宋" w:hAnsi="仿宋" w:eastAsia="仿宋"/>
            </w:rPr>
          </w:pPr>
          <w:r>
            <w:fldChar w:fldCharType="begin"/>
          </w:r>
          <w:r>
            <w:instrText xml:space="preserve"> HYPERLINK \l "_Toc119073746" </w:instrText>
          </w:r>
          <w:r>
            <w:fldChar w:fldCharType="separate"/>
          </w:r>
          <w:r>
            <w:rPr>
              <w:rStyle w:val="15"/>
              <w:rFonts w:ascii="仿宋" w:hAnsi="仿宋" w:eastAsia="仿宋"/>
            </w:rPr>
            <w:t>十、一般公共预算财政拨款“三公”经费支出决算表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_Toc119073746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62BC7C8E">
          <w:pPr>
            <w:pStyle w:val="11"/>
            <w:tabs>
              <w:tab w:val="left" w:pos="1470"/>
            </w:tabs>
            <w:spacing w:line="640" w:lineRule="exact"/>
            <w:rPr>
              <w:rStyle w:val="15"/>
              <w:rFonts w:ascii="仿宋" w:hAnsi="仿宋" w:eastAsia="仿宋"/>
            </w:rPr>
          </w:pPr>
          <w:r>
            <w:fldChar w:fldCharType="begin"/>
          </w:r>
          <w:r>
            <w:instrText xml:space="preserve"> HYPERLINK \l "_Toc119073747" </w:instrText>
          </w:r>
          <w:r>
            <w:fldChar w:fldCharType="separate"/>
          </w:r>
          <w:r>
            <w:rPr>
              <w:rStyle w:val="15"/>
              <w:rFonts w:ascii="仿宋" w:hAnsi="仿宋" w:eastAsia="仿宋"/>
            </w:rPr>
            <w:t>十一、政府性基金预算财政拨款收入支出决算表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_Toc119073747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12C05A24">
          <w:pPr>
            <w:pStyle w:val="11"/>
            <w:tabs>
              <w:tab w:val="left" w:pos="1470"/>
            </w:tabs>
            <w:spacing w:line="640" w:lineRule="exact"/>
            <w:rPr>
              <w:rStyle w:val="15"/>
              <w:rFonts w:ascii="仿宋" w:hAnsi="仿宋" w:eastAsia="仿宋"/>
            </w:rPr>
          </w:pPr>
          <w:r>
            <w:fldChar w:fldCharType="begin"/>
          </w:r>
          <w:r>
            <w:instrText xml:space="preserve"> HYPERLINK \l "_Toc119073748" </w:instrText>
          </w:r>
          <w:r>
            <w:fldChar w:fldCharType="separate"/>
          </w:r>
          <w:r>
            <w:rPr>
              <w:rStyle w:val="15"/>
              <w:rFonts w:ascii="仿宋" w:hAnsi="仿宋" w:eastAsia="仿宋"/>
            </w:rPr>
            <w:t>十二、政府性基金预算财政拨款“三公”经费支出决算表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_Toc119073748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05AF034C">
          <w:pPr>
            <w:pStyle w:val="11"/>
            <w:tabs>
              <w:tab w:val="left" w:pos="1470"/>
            </w:tabs>
            <w:spacing w:line="640" w:lineRule="exact"/>
            <w:rPr>
              <w:rStyle w:val="15"/>
              <w:rFonts w:ascii="仿宋" w:hAnsi="仿宋" w:eastAsia="仿宋"/>
            </w:rPr>
          </w:pPr>
          <w:r>
            <w:fldChar w:fldCharType="begin"/>
          </w:r>
          <w:r>
            <w:instrText xml:space="preserve"> HYPERLINK \l "_Toc119073749" </w:instrText>
          </w:r>
          <w:r>
            <w:fldChar w:fldCharType="separate"/>
          </w:r>
          <w:r>
            <w:rPr>
              <w:rStyle w:val="15"/>
              <w:rFonts w:ascii="仿宋" w:hAnsi="仿宋" w:eastAsia="仿宋"/>
            </w:rPr>
            <w:t>十三、国有资本经营预算财政拨款收入支出决算表</w:t>
          </w:r>
          <w:r>
            <w:rPr>
              <w:rStyle w:val="15"/>
              <w:rFonts w:ascii="仿宋" w:hAnsi="仿宋" w:eastAsia="仿宋"/>
            </w:rPr>
            <w:tab/>
          </w:r>
          <w:r>
            <w:rPr>
              <w:rStyle w:val="15"/>
              <w:rFonts w:ascii="仿宋" w:hAnsi="仿宋" w:eastAsia="仿宋"/>
            </w:rPr>
            <w:fldChar w:fldCharType="begin"/>
          </w:r>
          <w:r>
            <w:rPr>
              <w:rStyle w:val="15"/>
              <w:rFonts w:ascii="仿宋" w:hAnsi="仿宋" w:eastAsia="仿宋"/>
            </w:rPr>
            <w:instrText xml:space="preserve"> PAGEREF _Toc119073749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453FD49F">
          <w:pPr>
            <w:pStyle w:val="11"/>
            <w:tabs>
              <w:tab w:val="left" w:pos="1470"/>
            </w:tabs>
            <w:spacing w:line="640" w:lineRule="exact"/>
            <w:rPr>
              <w:rFonts w:asciiTheme="minorHAnsi" w:hAnsiTheme="minorHAnsi" w:eastAsiaTheme="minorEastAsia" w:cstheme="minorBidi"/>
              <w:szCs w:val="22"/>
            </w:rPr>
          </w:pPr>
          <w:r>
            <w:fldChar w:fldCharType="begin"/>
          </w:r>
          <w:r>
            <w:instrText xml:space="preserve"> HYPERLINK \l "_Toc119073750" </w:instrText>
          </w:r>
          <w:r>
            <w:fldChar w:fldCharType="separate"/>
          </w:r>
          <w:r>
            <w:rPr>
              <w:rStyle w:val="15"/>
              <w:rFonts w:ascii="仿宋" w:hAnsi="仿宋" w:eastAsia="仿宋"/>
            </w:rPr>
            <w:t>十四、国有资本经营预算财政拨款支出决算表</w:t>
          </w:r>
          <w:r>
            <w:tab/>
          </w:r>
          <w:r>
            <w:rPr>
              <w:rStyle w:val="15"/>
              <w:rFonts w:ascii="仿宋" w:hAnsi="仿宋" w:eastAsia="仿宋"/>
            </w:rPr>
            <w:fldChar w:fldCharType="begin"/>
          </w:r>
          <w:r>
            <w:rPr>
              <w:rStyle w:val="15"/>
              <w:rFonts w:ascii="仿宋" w:hAnsi="仿宋" w:eastAsia="仿宋"/>
            </w:rPr>
            <w:instrText xml:space="preserve"> PAGEREF _Toc119073750 \h </w:instrText>
          </w:r>
          <w:r>
            <w:rPr>
              <w:rStyle w:val="15"/>
              <w:rFonts w:ascii="仿宋" w:hAnsi="仿宋" w:eastAsia="仿宋"/>
            </w:rPr>
            <w:fldChar w:fldCharType="separate"/>
          </w:r>
          <w:r>
            <w:rPr>
              <w:rStyle w:val="15"/>
              <w:rFonts w:ascii="仿宋" w:hAnsi="仿宋" w:eastAsia="仿宋"/>
            </w:rPr>
            <w:t>22</w:t>
          </w:r>
          <w:r>
            <w:rPr>
              <w:rStyle w:val="15"/>
              <w:rFonts w:ascii="仿宋" w:hAnsi="仿宋" w:eastAsia="仿宋"/>
            </w:rPr>
            <w:fldChar w:fldCharType="end"/>
          </w:r>
          <w:r>
            <w:rPr>
              <w:rStyle w:val="15"/>
              <w:rFonts w:ascii="仿宋" w:hAnsi="仿宋" w:eastAsia="仿宋"/>
            </w:rPr>
            <w:fldChar w:fldCharType="end"/>
          </w:r>
        </w:p>
        <w:p w14:paraId="381DD9EE">
          <w:pPr>
            <w:pStyle w:val="10"/>
            <w:adjustRightInd w:val="0"/>
            <w:snapToGrid w:val="0"/>
            <w:spacing w:before="0" w:line="640" w:lineRule="exact"/>
            <w:jc w:val="left"/>
          </w:pPr>
          <w:r>
            <w:rPr>
              <w:sz w:val="24"/>
            </w:rPr>
            <w:fldChar w:fldCharType="end"/>
          </w:r>
        </w:p>
      </w:sdtContent>
    </w:sdt>
    <w:p w14:paraId="5FD034AC">
      <w:pPr>
        <w:pStyle w:val="11"/>
        <w:adjustRightInd w:val="0"/>
        <w:snapToGrid w:val="0"/>
        <w:spacing w:line="440" w:lineRule="exact"/>
        <w:jc w:val="left"/>
        <w:rPr>
          <w:sz w:val="24"/>
        </w:rPr>
        <w:sectPr>
          <w:footerReference r:id="rId5" w:type="default"/>
          <w:pgSz w:w="11906" w:h="16838"/>
          <w:pgMar w:top="1440" w:right="1800" w:bottom="1440" w:left="1800" w:header="851" w:footer="992" w:gutter="0"/>
          <w:pgNumType w:start="1"/>
          <w:cols w:space="425" w:num="1"/>
          <w:docGrid w:type="lines" w:linePitch="312" w:charSpace="0"/>
        </w:sectPr>
      </w:pPr>
    </w:p>
    <w:p w14:paraId="25923FB3">
      <w:pPr>
        <w:pStyle w:val="3"/>
        <w:jc w:val="center"/>
        <w:rPr>
          <w:rStyle w:val="24"/>
          <w:rFonts w:ascii="黑体" w:hAnsi="黑体" w:eastAsia="黑体"/>
          <w:b/>
          <w:bCs w:val="0"/>
        </w:rPr>
      </w:pPr>
      <w:bookmarkStart w:id="30" w:name="_Toc15377196"/>
      <w:bookmarkStart w:id="31" w:name="_Toc15396599"/>
      <w:bookmarkStart w:id="32" w:name="_Toc119073706"/>
      <w:r>
        <w:rPr>
          <w:rFonts w:hint="eastAsia" w:ascii="黑体" w:hAnsi="黑体" w:eastAsia="黑体"/>
          <w:b w:val="0"/>
        </w:rPr>
        <w:t>第一部分 单位</w:t>
      </w:r>
      <w:r>
        <w:rPr>
          <w:rStyle w:val="24"/>
          <w:rFonts w:hint="eastAsia" w:ascii="黑体" w:hAnsi="黑体" w:eastAsia="黑体"/>
          <w:b w:val="0"/>
          <w:bCs w:val="0"/>
        </w:rPr>
        <w:t>概况</w:t>
      </w:r>
      <w:bookmarkEnd w:id="30"/>
      <w:bookmarkEnd w:id="31"/>
      <w:bookmarkEnd w:id="32"/>
    </w:p>
    <w:p w14:paraId="28071A05">
      <w:pPr>
        <w:widowControl/>
        <w:jc w:val="left"/>
        <w:rPr>
          <w:rFonts w:ascii="黑体" w:eastAsia="黑体"/>
          <w:sz w:val="32"/>
          <w:szCs w:val="32"/>
        </w:rPr>
      </w:pPr>
    </w:p>
    <w:p w14:paraId="5B802A6F">
      <w:pPr>
        <w:pStyle w:val="4"/>
        <w:numPr>
          <w:ilvl w:val="0"/>
          <w:numId w:val="1"/>
        </w:numPr>
        <w:ind w:left="0" w:firstLine="0"/>
        <w:rPr>
          <w:rFonts w:ascii="仿宋" w:hAnsi="仿宋" w:eastAsia="仿宋"/>
        </w:rPr>
      </w:pPr>
      <w:bookmarkStart w:id="33" w:name="_Toc119073707"/>
      <w:bookmarkStart w:id="34" w:name="_Toc15377197"/>
      <w:bookmarkStart w:id="35" w:name="_Toc15396600"/>
      <w:r>
        <w:rPr>
          <w:rFonts w:hint="eastAsia" w:ascii="仿宋" w:hAnsi="仿宋" w:eastAsia="仿宋"/>
        </w:rPr>
        <w:t>职能简介</w:t>
      </w:r>
      <w:bookmarkEnd w:id="33"/>
    </w:p>
    <w:p w14:paraId="25E99E8D">
      <w:pPr>
        <w:ind w:firstLine="640" w:firstLineChars="200"/>
        <w:jc w:val="left"/>
        <w:rPr>
          <w:rFonts w:ascii="仿宋" w:hAnsi="仿宋" w:eastAsia="仿宋"/>
          <w:sz w:val="32"/>
          <w:szCs w:val="32"/>
        </w:rPr>
      </w:pPr>
      <w:r>
        <w:rPr>
          <w:rFonts w:hint="eastAsia" w:ascii="仿宋" w:hAnsi="仿宋" w:eastAsia="仿宋"/>
          <w:sz w:val="32"/>
          <w:szCs w:val="32"/>
        </w:rPr>
        <w:t>四川矿产机电技师学院是四川省地质矿产勘查开发局下属事业单位，其主要职责是：培养中专学历技术人才和高级工、预备技师及技师技能人才，促进经济发展。从事中专工科、文科学历教育与其他院校联办大专学历教育为国土资源及地勘行业系统和企业在职职工培训职业技术等级培训、颁证。</w:t>
      </w:r>
    </w:p>
    <w:p w14:paraId="3E747DD9"/>
    <w:p w14:paraId="274314A0">
      <w:pPr>
        <w:pStyle w:val="4"/>
        <w:numPr>
          <w:ilvl w:val="0"/>
          <w:numId w:val="1"/>
        </w:numPr>
        <w:ind w:left="0" w:firstLine="0"/>
        <w:rPr>
          <w:rFonts w:ascii="仿宋" w:hAnsi="仿宋" w:eastAsia="仿宋"/>
        </w:rPr>
      </w:pPr>
      <w:bookmarkStart w:id="36" w:name="_Toc119073708"/>
      <w:r>
        <w:rPr>
          <w:rFonts w:hint="eastAsia" w:ascii="仿宋" w:hAnsi="仿宋" w:eastAsia="仿宋"/>
        </w:rPr>
        <w:t>2021年重点工作</w:t>
      </w:r>
      <w:bookmarkEnd w:id="34"/>
      <w:bookmarkEnd w:id="35"/>
      <w:r>
        <w:rPr>
          <w:rFonts w:hint="eastAsia" w:ascii="仿宋" w:hAnsi="仿宋" w:eastAsia="仿宋"/>
        </w:rPr>
        <w:t>完成情况</w:t>
      </w:r>
      <w:bookmarkEnd w:id="36"/>
    </w:p>
    <w:p w14:paraId="50F6A55B">
      <w:pPr>
        <w:widowControl/>
        <w:ind w:firstLine="640" w:firstLineChars="200"/>
        <w:jc w:val="left"/>
        <w:rPr>
          <w:rFonts w:ascii="仿宋_GB2312" w:eastAsia="仿宋_GB2312"/>
          <w:sz w:val="32"/>
          <w:szCs w:val="32"/>
        </w:rPr>
      </w:pPr>
      <w:r>
        <w:rPr>
          <w:rFonts w:hint="eastAsia" w:eastAsia="仿宋_GB2312"/>
          <w:sz w:val="32"/>
          <w:szCs w:val="32"/>
        </w:rPr>
        <w:t>2021</w:t>
      </w:r>
      <w:r>
        <w:rPr>
          <w:rFonts w:hint="eastAsia" w:ascii="仿宋_GB2312" w:eastAsia="仿宋_GB2312"/>
          <w:sz w:val="32"/>
          <w:szCs w:val="32"/>
        </w:rPr>
        <w:t>年，是中国共产党成立</w:t>
      </w:r>
      <w:r>
        <w:rPr>
          <w:rFonts w:hint="eastAsia" w:eastAsia="仿宋_GB2312"/>
          <w:sz w:val="32"/>
          <w:szCs w:val="32"/>
        </w:rPr>
        <w:t>100</w:t>
      </w:r>
      <w:r>
        <w:rPr>
          <w:rFonts w:hint="eastAsia" w:ascii="仿宋_GB2312" w:eastAsia="仿宋_GB2312"/>
          <w:sz w:val="32"/>
          <w:szCs w:val="32"/>
        </w:rPr>
        <w:t>周年，也是开启全面</w:t>
      </w:r>
      <w:r>
        <w:rPr>
          <w:rFonts w:hint="eastAsia" w:ascii="仿宋_GB2312" w:eastAsia="仿宋_GB2312"/>
          <w:sz w:val="32"/>
          <w:szCs w:val="32"/>
          <w:lang w:eastAsia="zh-CN"/>
        </w:rPr>
        <w:t>社会主义现代化建设</w:t>
      </w:r>
      <w:r>
        <w:rPr>
          <w:rFonts w:hint="eastAsia" w:ascii="仿宋_GB2312" w:eastAsia="仿宋_GB2312"/>
          <w:sz w:val="32"/>
          <w:szCs w:val="32"/>
        </w:rPr>
        <w:t>国家新征程、向第二个百年奋斗目标进军之年，也是学院“十四五”发展的开局之年，在局党委的正确领导下，院党委以习近平新时代中国特色社会主义思想为指导，深入</w:t>
      </w:r>
      <w:r>
        <w:rPr>
          <w:rFonts w:hint="eastAsia" w:ascii="仿宋_GB2312" w:eastAsia="仿宋_GB2312"/>
          <w:sz w:val="32"/>
          <w:szCs w:val="32"/>
          <w:lang w:eastAsia="zh-CN"/>
        </w:rPr>
        <w:t>学习贯彻</w:t>
      </w:r>
      <w:r>
        <w:rPr>
          <w:rFonts w:hint="eastAsia" w:ascii="仿宋_GB2312" w:eastAsia="仿宋_GB2312"/>
          <w:sz w:val="32"/>
          <w:szCs w:val="32"/>
        </w:rPr>
        <w:t>党的十九大、</w:t>
      </w:r>
      <w:r>
        <w:rPr>
          <w:rFonts w:hint="eastAsia" w:ascii="仿宋_GB2312" w:eastAsia="仿宋_GB2312"/>
          <w:sz w:val="32"/>
          <w:szCs w:val="32"/>
          <w:lang w:eastAsia="zh-CN"/>
        </w:rPr>
        <w:t>党的十九届六中全会精神</w:t>
      </w:r>
      <w:r>
        <w:rPr>
          <w:rFonts w:hint="eastAsia" w:ascii="仿宋_GB2312" w:eastAsia="仿宋_GB2312"/>
          <w:sz w:val="32"/>
          <w:szCs w:val="32"/>
        </w:rPr>
        <w:t>，把党史学习教育与“十四五”高质量发展紧密结合，围绕学院中心工作，狠抓落实，有计划、有步骤地实施和推进重点工作，圆满完成了年初制定的目标任务。</w:t>
      </w:r>
    </w:p>
    <w:p w14:paraId="6BD6F7D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（一）以党史学习教育和</w:t>
      </w:r>
      <w:r>
        <w:rPr>
          <w:rFonts w:hint="eastAsia" w:ascii="仿宋_GB2312" w:hAnsi="仿宋_GB2312" w:eastAsia="仿宋_GB2312" w:cs="仿宋_GB2312"/>
          <w:b/>
          <w:sz w:val="32"/>
          <w:szCs w:val="32"/>
          <w:lang w:eastAsia="zh-CN"/>
        </w:rPr>
        <w:t>中国共产党成立100周年</w:t>
      </w:r>
      <w:r>
        <w:rPr>
          <w:rFonts w:hint="eastAsia" w:ascii="仿宋_GB2312" w:hAnsi="仿宋_GB2312" w:eastAsia="仿宋_GB2312" w:cs="仿宋_GB2312"/>
          <w:b/>
          <w:sz w:val="32"/>
          <w:szCs w:val="32"/>
        </w:rPr>
        <w:t>庆祝活动为契机，强化理论武装，铸牢思想根基。</w:t>
      </w:r>
    </w:p>
    <w:p w14:paraId="4CF05E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1.以上率下，充分发挥党委领导班子“头雁”作用。先后开展党委中心组学习1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次，结合</w:t>
      </w:r>
      <w:r>
        <w:rPr>
          <w:rFonts w:hint="eastAsia" w:ascii="仿宋_GB2312" w:hAnsi="仿宋_GB2312" w:eastAsia="仿宋_GB2312" w:cs="仿宋_GB2312"/>
          <w:sz w:val="32"/>
          <w:szCs w:val="32"/>
          <w:lang w:eastAsia="zh-CN"/>
        </w:rPr>
        <w:t>习近平总书记</w:t>
      </w:r>
      <w:r>
        <w:rPr>
          <w:rFonts w:hint="eastAsia" w:ascii="仿宋_GB2312" w:hAnsi="仿宋_GB2312" w:eastAsia="仿宋_GB2312" w:cs="仿宋_GB2312"/>
          <w:sz w:val="32"/>
          <w:szCs w:val="32"/>
        </w:rPr>
        <w:t>“七一”重要讲话精神、</w:t>
      </w:r>
      <w:r>
        <w:rPr>
          <w:rFonts w:hint="eastAsia" w:ascii="仿宋_GB2312" w:hAnsi="仿宋_GB2312" w:eastAsia="仿宋_GB2312" w:cs="仿宋_GB2312"/>
          <w:sz w:val="32"/>
          <w:szCs w:val="32"/>
          <w:lang w:eastAsia="zh-CN"/>
        </w:rPr>
        <w:t>党的十九届六中全会精神</w:t>
      </w:r>
      <w:r>
        <w:rPr>
          <w:rFonts w:hint="eastAsia" w:ascii="仿宋_GB2312" w:hAnsi="仿宋_GB2312" w:eastAsia="仿宋_GB2312" w:cs="仿宋_GB2312"/>
          <w:sz w:val="32"/>
          <w:szCs w:val="32"/>
        </w:rPr>
        <w:t>开展专题研讨2次并带头讲党课13次。</w:t>
      </w:r>
    </w:p>
    <w:p w14:paraId="1E26E70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2.统筹兼顾，创新载体开展系列庆祝活动，将党史学习引向深入。寓党的知识教育于形式多样的活动之中，先后开展了“学党史、强信念、跟党走”专题团课、“慧眼荐书 心萦余香”读书分享会、“明理增信，崇德力行”微党课进课堂、庆祝</w:t>
      </w:r>
      <w:r>
        <w:rPr>
          <w:rFonts w:hint="eastAsia" w:ascii="仿宋_GB2312" w:hAnsi="仿宋_GB2312" w:eastAsia="仿宋_GB2312" w:cs="仿宋_GB2312"/>
          <w:sz w:val="32"/>
          <w:szCs w:val="32"/>
          <w:lang w:eastAsia="zh-CN"/>
        </w:rPr>
        <w:t>中国共产党成立100周年</w:t>
      </w:r>
      <w:r>
        <w:rPr>
          <w:rFonts w:hint="eastAsia" w:ascii="仿宋_GB2312" w:hAnsi="仿宋_GB2312" w:eastAsia="仿宋_GB2312" w:cs="仿宋_GB2312"/>
          <w:sz w:val="32"/>
          <w:szCs w:val="32"/>
        </w:rPr>
        <w:t>手抄报等活动。开展了“诵读红色经典 礼赞建党百年”红色经典诵读比赛，缅怀红色峥嵘岁月；开展“颂歌送给党”合唱比赛，引导广大师生共抒爱国爱党情怀，唱响时代赞歌。</w:t>
      </w:r>
    </w:p>
    <w:p w14:paraId="03978D13">
      <w:pPr>
        <w:spacing w:line="560" w:lineRule="exact"/>
        <w:ind w:firstLine="643" w:firstLineChars="200"/>
        <w:rPr>
          <w:rFonts w:ascii="仿宋_GB2312" w:hAnsi="仿宋_GB2312" w:eastAsia="仿宋_GB2312" w:cs="仿宋_GB2312"/>
          <w:sz w:val="32"/>
          <w:szCs w:val="32"/>
        </w:rPr>
      </w:pPr>
      <w:r>
        <w:rPr>
          <w:rFonts w:hint="eastAsia" w:ascii="仿宋_GB2312" w:hAnsi="宋体" w:eastAsia="仿宋_GB2312"/>
          <w:b/>
          <w:bCs/>
          <w:sz w:val="32"/>
          <w:szCs w:val="32"/>
        </w:rPr>
        <w:t>（二）紧跟地勘行业改革发展步伐，积极申报相关项目，力争上档升级。</w:t>
      </w:r>
    </w:p>
    <w:p w14:paraId="47AAFC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1.认真做好上级领导来我校检查指导和调研工作。</w:t>
      </w:r>
    </w:p>
    <w:p w14:paraId="607556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2.全力争取我校申报高职纳入省“十四五”规划工作。</w:t>
      </w:r>
    </w:p>
    <w:p w14:paraId="6C8A92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3.积极开展“三名工程”申报工作。</w:t>
      </w:r>
    </w:p>
    <w:p w14:paraId="276732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4.努力申报黄炎培优秀学校奖。</w:t>
      </w:r>
    </w:p>
    <w:p w14:paraId="65B371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5.较好完成成都市技工院校评估工作。</w:t>
      </w:r>
    </w:p>
    <w:p w14:paraId="2BAF492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6.全面完成我院10个工种第三方职业技能等级认定试点评审工作。全年共开展认定人数763人。</w:t>
      </w:r>
    </w:p>
    <w:p w14:paraId="44EC25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7.完成砌筑和工业控制两个项目申报四川省职业技能竞赛集训基地的工作。</w:t>
      </w:r>
    </w:p>
    <w:p w14:paraId="47D800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坚持以科技带动创新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周旭创新工作室通过主管局验收</w:t>
      </w:r>
      <w:r>
        <w:rPr>
          <w:rFonts w:hint="eastAsia" w:ascii="仿宋_GB2312" w:hAnsi="仿宋_GB2312" w:eastAsia="仿宋_GB2312" w:cs="仿宋_GB2312"/>
          <w:sz w:val="32"/>
          <w:szCs w:val="32"/>
        </w:rPr>
        <w:t>；积极主动对接崇州市有关部门，成立崇州市赖良杰职工创新工作室和常春工匠创新工作室。</w:t>
      </w:r>
    </w:p>
    <w:p w14:paraId="15FB2D9D">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（三）勇担时代重任，助力乡村振兴。</w:t>
      </w:r>
    </w:p>
    <w:p w14:paraId="6929435F">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乡村振兴是一篇“大文章”，也是时代问卷。学院在局党委领导下，把乡村振兴工作的政治责任扛在肩上、抓在手上，借鉴和运用脱贫攻坚工作中形成的好经验、好做法，像抓脱贫攻坚一样抓乡村振兴。派驻优秀党员邓超同志到小金县盘安乡火地村，认真落实乡村振兴工作的每一项任务和要求。</w:t>
      </w:r>
    </w:p>
    <w:p w14:paraId="09526753">
      <w:pPr>
        <w:widowControl/>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（四）坚持开拓创新，主动服务社会，</w:t>
      </w:r>
      <w:r>
        <w:rPr>
          <w:rFonts w:hint="eastAsia" w:ascii="仿宋_GB2312" w:hAnsi="仿宋_GB2312" w:eastAsia="仿宋_GB2312" w:cs="仿宋_GB2312"/>
          <w:b/>
          <w:sz w:val="32"/>
          <w:szCs w:val="32"/>
        </w:rPr>
        <w:t>为行业和区域经济发展服务。</w:t>
      </w:r>
    </w:p>
    <w:p w14:paraId="089D75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1.积极担当作为，为行业服务。</w:t>
      </w:r>
    </w:p>
    <w:p w14:paraId="26404A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共举办了非学历培训教育9期，培训人员2306人次。承接局领导班子中心组学习暨领导干部专题读书班，局2021年入党积极分子（发展对象）培训班，全省地勘行业专业技术人员继续教育学习、技术工人等级考核等。协办全局庆祝中国共产党成立100周年“两优一先”表彰大会和“永远跟党走奋进新征程”文艺汇演活动，获得全体参赛单位一致好评。</w:t>
      </w:r>
    </w:p>
    <w:p w14:paraId="4241F02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2.密切联系地方，为区域经济发展贡献力量。</w:t>
      </w:r>
    </w:p>
    <w:p w14:paraId="674D6B1F">
      <w:pPr>
        <w:spacing w:line="560" w:lineRule="exact"/>
        <w:ind w:firstLine="640" w:firstLineChars="200"/>
      </w:pPr>
      <w:r>
        <w:rPr>
          <w:rFonts w:hint="eastAsia" w:ascii="仿宋_GB2312" w:hAnsi="仿宋_GB2312" w:eastAsia="仿宋_GB2312" w:cs="仿宋_GB2312"/>
          <w:sz w:val="32"/>
          <w:szCs w:val="32"/>
        </w:rPr>
        <w:t>积极承担技能人才培养及相关的任务，持续为崇州经济贡献力量。一是承办各类比赛和培训，助推崇州技能人才培养。二是发挥专业优势，积极融入建设崇州各项工作，提升为区域经济服务的能力。</w:t>
      </w:r>
    </w:p>
    <w:p w14:paraId="16E1F991">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（五）以提升教师教学能力为重心，以技能竞赛为抓手，深化教育教学改革，内涵建设再上新台阶。</w:t>
      </w:r>
    </w:p>
    <w:p w14:paraId="36CF53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1.以提升教师教学能力为重心，提高教师队伍整体水平。</w:t>
      </w:r>
    </w:p>
    <w:p w14:paraId="71CE9A4D">
      <w:pPr>
        <w:shd w:val="clear" w:color="auto" w:fill="FFFFFF"/>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（1）以项目建设带动培养师资队伍，通过校企合作、编写教材、课题申报、集训基地建设、创新工作室等项目为教师掌握先进工艺、了解市场需求、相互学习提供机会和交流平台。</w:t>
      </w:r>
      <w:r>
        <w:rPr>
          <w:rFonts w:hint="eastAsia" w:ascii="仿宋" w:hAnsi="仿宋" w:eastAsia="仿宋"/>
          <w:sz w:val="32"/>
          <w:szCs w:val="32"/>
        </w:rPr>
        <w:t>全年公开出版教材3本，完成省部级课题研究3项，发表论文6篇，完成专利研发并获授权8项。</w:t>
      </w:r>
    </w:p>
    <w:p w14:paraId="52949E2E">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以赛促教，鼓励并指导教师参加各级各类技能竞赛和职业能力竞赛。获国家级金牌1个，省级奖项2个，市级奖项8个。汽车工程系教师获全国乡村振兴职业技能大赛汽车维修工金牌；在成都市第四届技工院校职业能力竞赛中，三位教师分获金奖和银奖等，充分展示了我院教师的教育教学水平和崇州技能人才培养水平。</w:t>
      </w:r>
    </w:p>
    <w:p w14:paraId="6991039F">
      <w:pPr>
        <w:shd w:val="clear" w:color="auto" w:fill="FFFFFF"/>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以师德师风教育为核心，加强师资队伍建设。一名老师被命名为“成都工匠”；三名老师分别获得崇州市优秀教师、优秀青年教师和师德标兵。开展第二届学院师德师风标兵评选活动，五名优秀教师获标兵称号。</w:t>
      </w:r>
    </w:p>
    <w:p w14:paraId="7B1798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2.创新教学模式，以赛促学，学生参加技能比赛创佳绩。</w:t>
      </w:r>
    </w:p>
    <w:p w14:paraId="639B44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通过多年一体化教学改革，学院已形成较为成熟的一体化教学模式。近</w:t>
      </w:r>
      <w:r>
        <w:rPr>
          <w:rFonts w:hint="eastAsia" w:ascii="仿宋_GB2312" w:hAnsi="仿宋_GB2312" w:eastAsia="仿宋_GB2312" w:cs="仿宋_GB2312"/>
          <w:sz w:val="32"/>
          <w:szCs w:val="32"/>
          <w:lang w:eastAsia="zh-CN"/>
        </w:rPr>
        <w:t>年来</w:t>
      </w:r>
      <w:r>
        <w:rPr>
          <w:rFonts w:hint="eastAsia" w:ascii="仿宋_GB2312" w:hAnsi="仿宋_GB2312" w:eastAsia="仿宋_GB2312" w:cs="仿宋_GB2312"/>
          <w:sz w:val="32"/>
          <w:szCs w:val="32"/>
        </w:rPr>
        <w:t>通过更加深入的校企合作、校地合作、校园合作等模式，使学生技能水平极大提升。学院还利用各类竞赛有效促进学生主动学习、主动训练、主动参赛。今年学生共获得国家比赛奖项 10个，省级比赛奖项12个，市级比赛奖项22个。</w:t>
      </w:r>
    </w:p>
    <w:p w14:paraId="61508863">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3.开放办学，辐射示范，有效提升学院社会影响力。</w:t>
      </w:r>
    </w:p>
    <w:p w14:paraId="16D8922F">
      <w:pPr>
        <w:spacing w:line="560" w:lineRule="exact"/>
        <w:ind w:firstLine="560"/>
        <w:rPr>
          <w:rFonts w:ascii="仿宋_GB2312" w:eastAsia="仿宋_GB2312"/>
          <w:sz w:val="32"/>
          <w:szCs w:val="32"/>
        </w:rPr>
      </w:pPr>
      <w:r>
        <w:rPr>
          <w:rFonts w:hint="eastAsia" w:ascii="仿宋_GB2312" w:eastAsia="仿宋_GB2312"/>
          <w:sz w:val="32"/>
          <w:szCs w:val="32"/>
        </w:rPr>
        <w:t>（1）承办大赛，锻炼队伍。</w:t>
      </w:r>
    </w:p>
    <w:p w14:paraId="6E764648">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承办成都市第四届技工院校职业技能竞赛，设7个竞赛项目，其中教师组设课程思政说课比赛和班主任职业能力比赛2个赛项；学生组设中餐摆台、数控车工、保育员、汽车维修、砌筑5个赛项，参赛选手共137名，参赛学校共24所。圆满完成任务，受到各参赛学校的高度认可。</w:t>
      </w:r>
    </w:p>
    <w:p w14:paraId="73A85B99">
      <w:pPr>
        <w:spacing w:line="560" w:lineRule="exact"/>
        <w:ind w:firstLine="640" w:firstLineChars="200"/>
        <w:rPr>
          <w:rFonts w:ascii="仿宋_GB2312" w:eastAsia="仿宋_GB2312"/>
          <w:sz w:val="32"/>
          <w:szCs w:val="32"/>
        </w:rPr>
      </w:pPr>
      <w:r>
        <w:rPr>
          <w:rFonts w:hint="eastAsia" w:ascii="仿宋_GB2312" w:eastAsia="仿宋_GB2312"/>
          <w:sz w:val="32"/>
          <w:szCs w:val="32"/>
        </w:rPr>
        <w:t>（2）承办四川省技工教育工作会。</w:t>
      </w:r>
    </w:p>
    <w:p w14:paraId="7DBD8AEB">
      <w:pPr>
        <w:spacing w:line="560" w:lineRule="exact"/>
        <w:ind w:firstLine="640" w:firstLineChars="200"/>
        <w:rPr>
          <w:rFonts w:ascii="仿宋_GB2312" w:eastAsia="仿宋_GB2312"/>
          <w:sz w:val="32"/>
          <w:szCs w:val="32"/>
        </w:rPr>
      </w:pPr>
      <w:r>
        <w:rPr>
          <w:rFonts w:hint="eastAsia" w:ascii="仿宋_GB2312" w:eastAsia="仿宋_GB2312"/>
          <w:sz w:val="32"/>
          <w:szCs w:val="32"/>
        </w:rPr>
        <w:t>学院承办了2021年度四川省技工教育工作会，大会组织筹备工作得到省人社厅的充分肯定。会上，我院被评为“十三五”全省技工教育技能人才培养先进集体，学院院长被评为“十三五”全省技工教育技能人才培养先进个人。</w:t>
      </w:r>
    </w:p>
    <w:p w14:paraId="2B1786F5">
      <w:pPr>
        <w:spacing w:line="560" w:lineRule="exact"/>
        <w:ind w:firstLine="640" w:firstLineChars="200"/>
        <w:rPr>
          <w:rFonts w:ascii="仿宋_GB2312" w:eastAsia="仿宋_GB2312"/>
          <w:sz w:val="32"/>
          <w:szCs w:val="32"/>
        </w:rPr>
      </w:pPr>
      <w:r>
        <w:rPr>
          <w:rFonts w:hint="eastAsia" w:ascii="仿宋_GB2312" w:eastAsia="仿宋_GB2312"/>
          <w:sz w:val="32"/>
          <w:szCs w:val="32"/>
        </w:rPr>
        <w:t>（3）做好通用职业素质课程教学实验改革示范工作。</w:t>
      </w:r>
    </w:p>
    <w:p w14:paraId="017F3F1C">
      <w:pPr>
        <w:spacing w:line="560" w:lineRule="exact"/>
        <w:ind w:firstLine="640" w:firstLineChars="200"/>
        <w:rPr>
          <w:rFonts w:ascii="仿宋_GB2312" w:eastAsia="仿宋_GB2312"/>
          <w:sz w:val="32"/>
          <w:szCs w:val="32"/>
        </w:rPr>
      </w:pPr>
      <w:r>
        <w:rPr>
          <w:rFonts w:hint="eastAsia" w:ascii="仿宋_GB2312" w:eastAsia="仿宋_GB2312"/>
          <w:sz w:val="32"/>
          <w:szCs w:val="32"/>
        </w:rPr>
        <w:t>我院作为全国通用职业素质课程试点学校，杨小琴同志通过全国通用职业素质课程优秀教师选拔，成为全国示范课讲师，在全国开展了通用职业素质课程示范教学。该项工作极大</w:t>
      </w:r>
      <w:r>
        <w:rPr>
          <w:rFonts w:hint="eastAsia" w:ascii="仿宋_GB2312" w:eastAsia="仿宋_GB2312"/>
          <w:sz w:val="32"/>
          <w:szCs w:val="32"/>
          <w:lang w:eastAsia="zh-CN"/>
        </w:rPr>
        <w:t>地</w:t>
      </w:r>
      <w:r>
        <w:rPr>
          <w:rFonts w:hint="eastAsia" w:ascii="仿宋_GB2312" w:eastAsia="仿宋_GB2312"/>
          <w:sz w:val="32"/>
          <w:szCs w:val="32"/>
        </w:rPr>
        <w:t>提升了我院在全国技工教育系统的知名度和影响力。</w:t>
      </w:r>
    </w:p>
    <w:p w14:paraId="0DE76F39">
      <w:pPr>
        <w:spacing w:line="560" w:lineRule="exact"/>
        <w:ind w:firstLine="643" w:firstLineChars="200"/>
        <w:rPr>
          <w:rFonts w:ascii="仿宋" w:hAnsi="仿宋" w:eastAsia="仿宋" w:cs="仿宋"/>
          <w:b/>
          <w:sz w:val="32"/>
          <w:szCs w:val="32"/>
        </w:rPr>
      </w:pPr>
      <w:r>
        <w:rPr>
          <w:rFonts w:hint="eastAsia" w:ascii="仿宋_GB2312" w:hAnsi="仿宋_GB2312" w:eastAsia="仿宋_GB2312" w:cs="仿宋_GB2312"/>
          <w:b/>
          <w:sz w:val="32"/>
          <w:szCs w:val="32"/>
        </w:rPr>
        <w:t xml:space="preserve">（六）坚持产教融合，不断深化校企合作。 </w:t>
      </w:r>
    </w:p>
    <w:p w14:paraId="774CA0D9">
      <w:pPr>
        <w:spacing w:line="560" w:lineRule="exact"/>
        <w:ind w:firstLine="640" w:firstLineChars="200"/>
        <w:rPr>
          <w:rFonts w:ascii="仿宋_GB2312" w:eastAsia="仿宋_GB2312"/>
          <w:sz w:val="32"/>
          <w:szCs w:val="32"/>
        </w:rPr>
      </w:pPr>
      <w:r>
        <w:rPr>
          <w:rFonts w:hint="eastAsia" w:ascii="仿宋_GB2312" w:eastAsia="仿宋_GB2312"/>
          <w:sz w:val="32"/>
          <w:szCs w:val="32"/>
        </w:rPr>
        <w:t>学院积极探索“德技并举</w:t>
      </w:r>
      <w:r>
        <w:rPr>
          <w:rFonts w:hint="eastAsia" w:ascii="仿宋_GB2312" w:eastAsia="仿宋_GB2312"/>
          <w:sz w:val="32"/>
          <w:szCs w:val="32"/>
          <w:lang w:eastAsia="zh-CN"/>
        </w:rPr>
        <w:t>”“</w:t>
      </w:r>
      <w:r>
        <w:rPr>
          <w:rFonts w:hint="eastAsia" w:ascii="仿宋_GB2312" w:eastAsia="仿宋_GB2312"/>
          <w:sz w:val="32"/>
          <w:szCs w:val="32"/>
        </w:rPr>
        <w:t>校企双元”的育人机制，坚持产教融合，不断深化校企合作。</w:t>
      </w:r>
    </w:p>
    <w:p w14:paraId="29B3A88C">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1.文化互融，突出环境育人。 </w:t>
      </w:r>
    </w:p>
    <w:p w14:paraId="41DDD914">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将企业文化建设融入校园文化建设，通过不断深入的企业文化渗透，提高学生的职业认同。建设机床文化展示长廊、“经彩”宣传团队、博艺楼文化走廊等举措，将校企文化有效互融，收到了良好效果。 </w:t>
      </w:r>
    </w:p>
    <w:p w14:paraId="154837FB">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 探索校企合作方式，完善产教融合平台。 </w:t>
      </w:r>
    </w:p>
    <w:p w14:paraId="25E9C7D9">
      <w:pPr>
        <w:spacing w:line="560" w:lineRule="exact"/>
        <w:ind w:firstLine="640" w:firstLineChars="200"/>
        <w:rPr>
          <w:rFonts w:ascii="仿宋_GB2312" w:eastAsia="仿宋_GB2312"/>
          <w:sz w:val="32"/>
          <w:szCs w:val="32"/>
        </w:rPr>
      </w:pPr>
      <w:r>
        <w:rPr>
          <w:rFonts w:hint="eastAsia" w:ascii="仿宋_GB2312" w:eastAsia="仿宋_GB2312"/>
          <w:sz w:val="32"/>
          <w:szCs w:val="32"/>
        </w:rPr>
        <w:t>与四川珠峰通航科技公司共同建设无人机测绘工作站和室外无人机考证标准飞行工位，为无人机专业学生搭建良好的学习实训和考证平台，产教完美融合。</w:t>
      </w:r>
    </w:p>
    <w:p w14:paraId="330C23B6">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3.校企双元合作育人，订单培养持续升级。 </w:t>
      </w:r>
    </w:p>
    <w:p w14:paraId="4DA76EE1">
      <w:pPr>
        <w:spacing w:line="560" w:lineRule="exact"/>
        <w:ind w:firstLine="640" w:firstLineChars="200"/>
        <w:rPr>
          <w:rFonts w:ascii="仿宋_GB2312" w:eastAsia="仿宋_GB2312"/>
          <w:sz w:val="32"/>
          <w:szCs w:val="32"/>
        </w:rPr>
      </w:pPr>
      <w:r>
        <w:rPr>
          <w:rFonts w:hint="eastAsia" w:ascii="仿宋_GB2312" w:eastAsia="仿宋_GB2312"/>
          <w:sz w:val="32"/>
          <w:szCs w:val="32"/>
        </w:rPr>
        <w:t>充分利用专业优势，积极与优质企业联系，新增天科等企业订单班，深入开展校企双元合作育人。</w:t>
      </w:r>
    </w:p>
    <w:p w14:paraId="677A34BC">
      <w:pPr>
        <w:spacing w:line="560" w:lineRule="exact"/>
        <w:ind w:firstLine="640" w:firstLineChars="200"/>
        <w:rPr>
          <w:rFonts w:ascii="仿宋_GB2312" w:eastAsia="仿宋_GB2312"/>
          <w:sz w:val="32"/>
          <w:szCs w:val="32"/>
        </w:rPr>
      </w:pPr>
      <w:r>
        <w:rPr>
          <w:rFonts w:hint="eastAsia" w:ascii="仿宋_GB2312" w:eastAsia="仿宋_GB2312"/>
          <w:sz w:val="32"/>
          <w:szCs w:val="32"/>
        </w:rPr>
        <w:t>4.与企业联合成立产业学院，真正实现校企融合。</w:t>
      </w:r>
    </w:p>
    <w:p w14:paraId="04ACFFD4">
      <w:pPr>
        <w:spacing w:line="560" w:lineRule="exact"/>
        <w:ind w:firstLine="640" w:firstLineChars="200"/>
        <w:rPr>
          <w:rFonts w:ascii="仿宋_GB2312" w:eastAsia="仿宋_GB2312"/>
          <w:sz w:val="32"/>
          <w:szCs w:val="32"/>
        </w:rPr>
      </w:pPr>
      <w:r>
        <w:rPr>
          <w:rFonts w:hint="eastAsia" w:ascii="仿宋_GB2312" w:eastAsia="仿宋_GB2312"/>
          <w:sz w:val="32"/>
          <w:szCs w:val="32"/>
        </w:rPr>
        <w:t>学院建筑与地质工程系与重庆倬方钻探工程集团有限责任公司联合成立“交通工程产业学院”。发挥校企双方优势，实现资源共享、优势互补、互利共赢，为行业企业培养更多更优的高技能人才，真正实现校企融合。</w:t>
      </w:r>
    </w:p>
    <w:p w14:paraId="77DCDB04">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（七）以优质的教育教学推动招生就业迈上新台阶。</w:t>
      </w:r>
    </w:p>
    <w:p w14:paraId="34BCEE45">
      <w:pPr>
        <w:spacing w:line="560" w:lineRule="exact"/>
        <w:ind w:firstLine="640" w:firstLineChars="200"/>
        <w:rPr>
          <w:rFonts w:ascii="仿宋_GB2312" w:eastAsia="仿宋_GB2312"/>
          <w:sz w:val="32"/>
          <w:szCs w:val="32"/>
        </w:rPr>
      </w:pPr>
      <w:r>
        <w:rPr>
          <w:rFonts w:hint="eastAsia" w:ascii="仿宋_GB2312" w:eastAsia="仿宋_GB2312"/>
          <w:sz w:val="32"/>
          <w:szCs w:val="32"/>
        </w:rPr>
        <w:t>近年来，学院不断提高教育教学质量，社会影响力急剧提升，优质的教育教学吸引众多学生，招生人数再创新高。全年招生2271人，超额完成招生计划。</w:t>
      </w:r>
    </w:p>
    <w:p w14:paraId="2A74747F">
      <w:pPr>
        <w:spacing w:line="560" w:lineRule="exact"/>
        <w:ind w:firstLine="640" w:firstLineChars="200"/>
      </w:pPr>
      <w:r>
        <w:rPr>
          <w:rFonts w:hint="eastAsia" w:ascii="仿宋_GB2312" w:eastAsia="仿宋_GB2312"/>
          <w:sz w:val="32"/>
          <w:szCs w:val="32"/>
        </w:rPr>
        <w:t>积极拓展校企合作、校园合作、校地合作，大力开展校园招聘和企业宣讲活动，邀请省内外知名企业到校参加双选会，毕业生供不应求，有力促进学生高质量就业。</w:t>
      </w:r>
    </w:p>
    <w:p w14:paraId="004D5F51">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（八）以立德树人为根本，坚持五育并举，推进三全育人，促进学生综合素质提升。</w:t>
      </w:r>
    </w:p>
    <w:p w14:paraId="31A1DEA4">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学院通过德技并修的育人机制，始终坚持德育为先，智育为本，体育为重，美育和劳动教育并举，通过党史学习、庆祝</w:t>
      </w:r>
      <w:r>
        <w:rPr>
          <w:rFonts w:hint="eastAsia" w:ascii="仿宋_GB2312" w:eastAsia="仿宋_GB2312"/>
          <w:sz w:val="32"/>
          <w:szCs w:val="32"/>
          <w:lang w:eastAsia="zh-CN"/>
        </w:rPr>
        <w:t>中国共产党成立100周年</w:t>
      </w:r>
      <w:r>
        <w:rPr>
          <w:rFonts w:hint="eastAsia" w:ascii="仿宋_GB2312" w:eastAsia="仿宋_GB2312"/>
          <w:sz w:val="32"/>
          <w:szCs w:val="32"/>
        </w:rPr>
        <w:t>系列活动、各类文艺体育活动、大国工匠进校园、弘扬中华礼仪万里行进校园等，厚植爱国爱党情怀，提升学生综合能力，筑牢健康体魄，涵养高尚品德，锤炼坚强的意志。积极参与志愿者服务，被评为崇州市十佳志愿服务单位。</w:t>
      </w:r>
      <w:r>
        <w:rPr>
          <w:rFonts w:hint="eastAsia" w:ascii="仿宋_GB2312" w:hAnsi="仿宋_GB2312" w:eastAsia="仿宋_GB2312" w:cs="仿宋_GB2312"/>
          <w:sz w:val="32"/>
          <w:szCs w:val="32"/>
        </w:rPr>
        <w:t>与驻校老师通力配合，切实做好9+3学生教育管理，提升少数民族学生管理工作实效。</w:t>
      </w:r>
    </w:p>
    <w:p w14:paraId="31EA3783">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（九）抓安全促和谐，做好常态化疫情防控，确保师生健康和校园平安。</w:t>
      </w:r>
    </w:p>
    <w:p w14:paraId="11E33779">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1.疫情防控不松懈，守住安全第一线</w:t>
      </w:r>
    </w:p>
    <w:p w14:paraId="1E074A2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学院始终把师生生命安全和身体健康放在首要位置，认真贯彻落实各级疫情防控指挥部决策部署，扎实推进疫情防控。组织师生积极接种新冠疫苗，有效阻断疫情流行，应接尽接共筑防疫长城。</w:t>
      </w:r>
      <w:r>
        <w:rPr>
          <w:rFonts w:hint="eastAsia" w:ascii="仿宋_GB2312" w:eastAsia="仿宋_GB2312"/>
          <w:sz w:val="32"/>
          <w:szCs w:val="32"/>
        </w:rPr>
        <w:t>学生疫苗接种率达99%，教师疫苗接种率达100%，</w:t>
      </w:r>
      <w:r>
        <w:rPr>
          <w:rFonts w:hint="eastAsia" w:ascii="仿宋_GB2312" w:hAnsi="仿宋_GB2312" w:eastAsia="仿宋_GB2312" w:cs="仿宋_GB2312"/>
          <w:sz w:val="32"/>
          <w:szCs w:val="32"/>
        </w:rPr>
        <w:t>全面完成疫苗接种任务。</w:t>
      </w:r>
    </w:p>
    <w:p w14:paraId="48E9B613">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2.从严从实从细狠抓安全，确保全院平安。</w:t>
      </w:r>
    </w:p>
    <w:p w14:paraId="5CB0C8B7">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学院坚持“以人为本”的安全理念，以“落实安全责任，推动安全发展”为主题，按照“全覆盖、零容忍、严检查、重实效”的工作要求，在抓好“一岗双责”的同时，贯彻落实</w:t>
      </w:r>
      <w:r>
        <w:rPr>
          <w:rFonts w:hint="eastAsia" w:ascii="仿宋_GB2312" w:hAnsi="仿宋" w:eastAsia="仿宋_GB2312" w:cs="仿宋"/>
          <w:sz w:val="32"/>
          <w:szCs w:val="32"/>
          <w:lang w:eastAsia="zh-CN"/>
        </w:rPr>
        <w:t>“党政同责”</w:t>
      </w:r>
      <w:r>
        <w:rPr>
          <w:rFonts w:hint="eastAsia" w:ascii="仿宋_GB2312" w:hAnsi="仿宋" w:eastAsia="仿宋_GB2312" w:cs="仿宋"/>
          <w:sz w:val="32"/>
          <w:szCs w:val="32"/>
        </w:rPr>
        <w:t>、失职追责、尽职免责，坚持“安全第一、预防为主、综合治理”的方针，强化目标管理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狠抓落实</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确保全年安全目标任务圆满完成。</w:t>
      </w:r>
    </w:p>
    <w:p w14:paraId="63E14903">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（十）加强基础能力建设，营造良好育人环境。</w:t>
      </w:r>
    </w:p>
    <w:p w14:paraId="102CD637">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针对师生员工最关心、最直接、最现实的民生利益问题，完成了学生公寓空调安装、实训基地环境改造、建工实训场地建设等项目。充分发挥内审和</w:t>
      </w:r>
      <w:r>
        <w:rPr>
          <w:rFonts w:hint="eastAsia" w:ascii="仿宋_GB2312" w:hAnsi="仿宋_GB2312" w:eastAsia="仿宋_GB2312" w:cs="仿宋_GB2312"/>
          <w:bCs/>
          <w:sz w:val="32"/>
          <w:szCs w:val="32"/>
          <w:lang w:eastAsia="zh-CN"/>
        </w:rPr>
        <w:t>纪检监察监督</w:t>
      </w:r>
      <w:r>
        <w:rPr>
          <w:rFonts w:hint="eastAsia" w:ascii="仿宋_GB2312" w:hAnsi="仿宋_GB2312" w:eastAsia="仿宋_GB2312" w:cs="仿宋_GB2312"/>
          <w:bCs/>
          <w:sz w:val="32"/>
          <w:szCs w:val="32"/>
        </w:rPr>
        <w:t>职能，项目建设实施全过程跟踪管理，确保质量廉洁高效完成，校园环境得到优化。</w:t>
      </w:r>
    </w:p>
    <w:p w14:paraId="04FD8F1F">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（十一）强化民主管理，</w:t>
      </w:r>
      <w:r>
        <w:rPr>
          <w:rFonts w:hint="eastAsia" w:ascii="仿宋_GB2312" w:hAnsi="仿宋" w:eastAsia="仿宋_GB2312" w:cs="仿宋"/>
          <w:b/>
          <w:bCs/>
          <w:sz w:val="32"/>
          <w:szCs w:val="32"/>
        </w:rPr>
        <w:t>关心关爱职工，构建和谐校园</w:t>
      </w:r>
      <w:r>
        <w:rPr>
          <w:rFonts w:hint="eastAsia" w:ascii="仿宋_GB2312" w:hAnsi="仿宋_GB2312" w:eastAsia="仿宋_GB2312" w:cs="仿宋_GB2312"/>
          <w:b/>
          <w:bCs/>
          <w:sz w:val="32"/>
          <w:szCs w:val="32"/>
        </w:rPr>
        <w:t>。</w:t>
      </w:r>
    </w:p>
    <w:p w14:paraId="66CC4D7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实施民主决策、民主管理和民主监督，召开第六届二次教代会暨第四届二次工代会。积极为职工办实事、办好事，开展送温暖、送清凉和困难职工帮扶等活动，进一步激发广大教职工的工作积极性、主动性和创造性。开展并参与多项文体活动，活跃职工文化生活。如全局演讲比赛、钓鱼比赛、桥牌友谊赛、篮球赛和职工趣味运动会等，通过活动增</w:t>
      </w:r>
      <w:r>
        <w:rPr>
          <w:rFonts w:hint="eastAsia" w:ascii="仿宋_GB2312" w:hAnsi="仿宋_GB2312" w:eastAsia="仿宋_GB2312" w:cs="仿宋_GB2312"/>
          <w:bCs/>
          <w:sz w:val="32"/>
          <w:szCs w:val="32"/>
          <w:lang w:eastAsia="zh-CN"/>
        </w:rPr>
        <w:t>进朋</w:t>
      </w:r>
      <w:r>
        <w:rPr>
          <w:rFonts w:hint="eastAsia" w:ascii="仿宋_GB2312" w:hAnsi="仿宋_GB2312" w:eastAsia="仿宋_GB2312" w:cs="仿宋_GB2312"/>
          <w:bCs/>
          <w:sz w:val="32"/>
          <w:szCs w:val="32"/>
        </w:rPr>
        <w:t>友和团队协作精神，强健体魄，升华情感。其中代表省局参加成都片区“永远</w:t>
      </w:r>
      <w:r>
        <w:rPr>
          <w:rFonts w:hint="eastAsia" w:ascii="仿宋_GB2312" w:hAnsi="仿宋_GB2312" w:eastAsia="仿宋_GB2312" w:cs="仿宋_GB2312"/>
          <w:bCs/>
          <w:sz w:val="32"/>
          <w:szCs w:val="32"/>
          <w:lang w:eastAsia="zh-CN"/>
        </w:rPr>
        <w:t>跟党走</w:t>
      </w:r>
      <w:r>
        <w:rPr>
          <w:rFonts w:hint="eastAsia" w:ascii="仿宋_GB2312" w:hAnsi="仿宋_GB2312" w:eastAsia="仿宋_GB2312" w:cs="仿宋_GB2312"/>
          <w:bCs/>
          <w:sz w:val="32"/>
          <w:szCs w:val="32"/>
        </w:rPr>
        <w:t>，奋进新征程”庆祝</w:t>
      </w:r>
      <w:r>
        <w:rPr>
          <w:rFonts w:hint="eastAsia" w:ascii="仿宋_GB2312" w:hAnsi="仿宋_GB2312" w:eastAsia="仿宋_GB2312" w:cs="仿宋_GB2312"/>
          <w:bCs/>
          <w:sz w:val="32"/>
          <w:szCs w:val="32"/>
          <w:lang w:eastAsia="zh-CN"/>
        </w:rPr>
        <w:t>中国共产党成立100周年</w:t>
      </w:r>
      <w:r>
        <w:rPr>
          <w:rFonts w:hint="eastAsia" w:ascii="仿宋_GB2312" w:hAnsi="仿宋_GB2312" w:eastAsia="仿宋_GB2312" w:cs="仿宋_GB2312"/>
          <w:bCs/>
          <w:sz w:val="32"/>
          <w:szCs w:val="32"/>
        </w:rPr>
        <w:t>职工合唱比赛，获得铜牌，充分展示了学院的凝聚力和战斗力。</w:t>
      </w:r>
    </w:p>
    <w:p w14:paraId="3D745390">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积极推进建设职工之家项目。目前该项目已完成基础部分建设，待内部装饰美化后将为职工提供良好的休闲场所。</w:t>
      </w:r>
    </w:p>
    <w:p w14:paraId="3A377E78">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做好离退休工作。组织了庆祝</w:t>
      </w:r>
      <w:r>
        <w:rPr>
          <w:rFonts w:hint="eastAsia" w:ascii="仿宋_GB2312" w:hAnsi="仿宋_GB2312" w:eastAsia="仿宋_GB2312" w:cs="仿宋_GB2312"/>
          <w:bCs/>
          <w:sz w:val="32"/>
          <w:szCs w:val="32"/>
          <w:lang w:eastAsia="zh-CN"/>
        </w:rPr>
        <w:t>中国共产党成立100周年</w:t>
      </w:r>
      <w:r>
        <w:rPr>
          <w:rFonts w:hint="eastAsia" w:ascii="仿宋_GB2312" w:hAnsi="仿宋_GB2312" w:eastAsia="仿宋_GB2312" w:cs="仿宋_GB2312"/>
          <w:bCs/>
          <w:sz w:val="32"/>
          <w:szCs w:val="32"/>
        </w:rPr>
        <w:t>离退休老同志茶话会等系列庆祝活动；坚持上门服务、电话问候老同志，帮助老同志办理异地医保报销等事项，将学院关爱传送给离退休职工和家属。</w:t>
      </w:r>
    </w:p>
    <w:p w14:paraId="6C004DD8">
      <w:pPr>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金带街生活基地被纳入崇州市棚户区改造项目，为保障棚改住户职工的切身利益，学院多次与崇州市相关部门沟通协调，积极协助做好工作</w:t>
      </w:r>
      <w:r>
        <w:rPr>
          <w:rFonts w:hint="eastAsia" w:ascii="仿宋_GB2312" w:hAnsi="宋体" w:eastAsia="仿宋_GB2312"/>
          <w:sz w:val="32"/>
          <w:szCs w:val="32"/>
        </w:rPr>
        <w:t>。</w:t>
      </w:r>
    </w:p>
    <w:p w14:paraId="1DFB35B1">
      <w:pPr>
        <w:pStyle w:val="4"/>
        <w:numPr>
          <w:ilvl w:val="0"/>
          <w:numId w:val="1"/>
        </w:numPr>
        <w:rPr>
          <w:rFonts w:ascii="仿宋" w:hAnsi="仿宋" w:eastAsia="仿宋"/>
        </w:rPr>
      </w:pPr>
      <w:bookmarkStart w:id="37" w:name="_Toc119073709"/>
      <w:r>
        <w:rPr>
          <w:rFonts w:ascii="仿宋" w:hAnsi="仿宋" w:eastAsia="仿宋"/>
        </w:rPr>
        <w:t>机构设置情况</w:t>
      </w:r>
      <w:bookmarkEnd w:id="37"/>
    </w:p>
    <w:p w14:paraId="47034136">
      <w:pPr>
        <w:pStyle w:val="2"/>
        <w:spacing w:before="93"/>
        <w:ind w:firstLine="640" w:firstLineChars="200"/>
        <w:rPr>
          <w:rFonts w:hAnsi="仿宋_GB2312" w:cs="仿宋_GB2312"/>
          <w:kern w:val="2"/>
          <w:sz w:val="32"/>
          <w:szCs w:val="32"/>
        </w:rPr>
      </w:pPr>
      <w:r>
        <w:rPr>
          <w:rFonts w:hAnsi="仿宋_GB2312" w:cs="仿宋_GB2312"/>
          <w:kern w:val="2"/>
          <w:sz w:val="32"/>
          <w:szCs w:val="32"/>
        </w:rPr>
        <w:t>我院行政管理部门及教学系机构由16个组成，分别是：机电工程系，建筑与地质工程系、汽车工程系、经济管理系、基础教育系、院办公室、教务处、学生工作处、招生就业处、人力资源部、财务中心、审计、后勤服务处、技安保卫处（离退休科）、培训部、图书信息中心。</w:t>
      </w:r>
    </w:p>
    <w:p w14:paraId="0B6F97EC">
      <w:pPr>
        <w:pStyle w:val="2"/>
        <w:spacing w:before="93"/>
        <w:ind w:firstLine="640" w:firstLineChars="200"/>
        <w:rPr>
          <w:rFonts w:hAnsi="仿宋_GB2312" w:cs="仿宋_GB2312"/>
          <w:kern w:val="2"/>
          <w:sz w:val="32"/>
          <w:szCs w:val="32"/>
        </w:rPr>
      </w:pPr>
    </w:p>
    <w:p w14:paraId="470055A0">
      <w:pPr>
        <w:pStyle w:val="2"/>
        <w:spacing w:before="93"/>
        <w:ind w:firstLine="640" w:firstLineChars="200"/>
        <w:rPr>
          <w:rFonts w:hAnsi="仿宋_GB2312" w:cs="仿宋_GB2312"/>
          <w:kern w:val="2"/>
          <w:sz w:val="32"/>
          <w:szCs w:val="32"/>
        </w:rPr>
      </w:pPr>
    </w:p>
    <w:p w14:paraId="1DCD21D9">
      <w:pPr>
        <w:pStyle w:val="2"/>
        <w:spacing w:before="93"/>
        <w:ind w:firstLine="640" w:firstLineChars="200"/>
        <w:rPr>
          <w:rFonts w:hAnsi="仿宋_GB2312" w:cs="仿宋_GB2312"/>
          <w:kern w:val="2"/>
          <w:sz w:val="32"/>
          <w:szCs w:val="32"/>
        </w:rPr>
      </w:pPr>
    </w:p>
    <w:p w14:paraId="35EB11A5">
      <w:pPr>
        <w:pStyle w:val="2"/>
        <w:spacing w:before="93"/>
        <w:ind w:firstLine="640" w:firstLineChars="200"/>
        <w:rPr>
          <w:rFonts w:hAnsi="仿宋_GB2312" w:cs="仿宋_GB2312"/>
          <w:kern w:val="2"/>
          <w:sz w:val="32"/>
          <w:szCs w:val="32"/>
        </w:rPr>
      </w:pPr>
    </w:p>
    <w:p w14:paraId="79DDFC11">
      <w:pPr>
        <w:pStyle w:val="2"/>
        <w:spacing w:before="93"/>
        <w:ind w:firstLine="640" w:firstLineChars="200"/>
        <w:rPr>
          <w:rFonts w:hAnsi="仿宋_GB2312" w:cs="仿宋_GB2312"/>
          <w:kern w:val="2"/>
          <w:sz w:val="32"/>
          <w:szCs w:val="32"/>
        </w:rPr>
      </w:pPr>
    </w:p>
    <w:p w14:paraId="61E703A5">
      <w:pPr>
        <w:pStyle w:val="2"/>
        <w:spacing w:before="93"/>
        <w:ind w:firstLine="640" w:firstLineChars="200"/>
        <w:rPr>
          <w:rFonts w:hAnsi="仿宋_GB2312" w:cs="仿宋_GB2312"/>
          <w:kern w:val="2"/>
          <w:sz w:val="32"/>
          <w:szCs w:val="32"/>
        </w:rPr>
      </w:pPr>
    </w:p>
    <w:p w14:paraId="353E7567">
      <w:pPr>
        <w:pStyle w:val="2"/>
        <w:spacing w:before="93"/>
        <w:ind w:firstLine="640" w:firstLineChars="200"/>
        <w:rPr>
          <w:rFonts w:hAnsi="仿宋_GB2312" w:cs="仿宋_GB2312"/>
          <w:kern w:val="2"/>
          <w:sz w:val="32"/>
          <w:szCs w:val="32"/>
        </w:rPr>
      </w:pPr>
    </w:p>
    <w:p w14:paraId="476F81F2">
      <w:pPr>
        <w:pStyle w:val="2"/>
        <w:spacing w:before="93"/>
        <w:ind w:firstLine="640" w:firstLineChars="200"/>
        <w:rPr>
          <w:rFonts w:hAnsi="仿宋_GB2312" w:cs="仿宋_GB2312"/>
          <w:kern w:val="2"/>
          <w:sz w:val="32"/>
          <w:szCs w:val="32"/>
        </w:rPr>
      </w:pPr>
    </w:p>
    <w:p w14:paraId="54A24EB4">
      <w:pPr>
        <w:pStyle w:val="2"/>
        <w:spacing w:before="93"/>
        <w:ind w:firstLine="640" w:firstLineChars="200"/>
        <w:rPr>
          <w:rFonts w:hAnsi="仿宋_GB2312" w:cs="仿宋_GB2312"/>
          <w:kern w:val="2"/>
          <w:sz w:val="32"/>
          <w:szCs w:val="32"/>
        </w:rPr>
      </w:pPr>
    </w:p>
    <w:p w14:paraId="242188A5">
      <w:pPr>
        <w:pStyle w:val="2"/>
        <w:spacing w:before="93"/>
        <w:ind w:firstLine="640" w:firstLineChars="200"/>
        <w:rPr>
          <w:rFonts w:hAnsi="仿宋_GB2312" w:cs="仿宋_GB2312"/>
          <w:kern w:val="2"/>
          <w:sz w:val="32"/>
          <w:szCs w:val="32"/>
        </w:rPr>
      </w:pPr>
    </w:p>
    <w:p w14:paraId="58CB4099">
      <w:pPr>
        <w:pStyle w:val="2"/>
        <w:spacing w:before="93"/>
        <w:ind w:firstLine="640" w:firstLineChars="200"/>
        <w:rPr>
          <w:rFonts w:hAnsi="仿宋_GB2312" w:cs="仿宋_GB2312"/>
          <w:kern w:val="2"/>
          <w:sz w:val="32"/>
          <w:szCs w:val="32"/>
        </w:rPr>
      </w:pPr>
    </w:p>
    <w:p w14:paraId="61C8E3F6">
      <w:pPr>
        <w:pStyle w:val="2"/>
        <w:spacing w:before="93"/>
        <w:ind w:firstLine="640" w:firstLineChars="200"/>
        <w:rPr>
          <w:rFonts w:hAnsi="仿宋_GB2312" w:cs="仿宋_GB2312"/>
          <w:kern w:val="2"/>
          <w:sz w:val="32"/>
          <w:szCs w:val="32"/>
        </w:rPr>
      </w:pPr>
    </w:p>
    <w:p w14:paraId="1E7D81D4">
      <w:pPr>
        <w:pStyle w:val="2"/>
        <w:spacing w:before="93"/>
        <w:ind w:firstLine="640" w:firstLineChars="200"/>
        <w:rPr>
          <w:rFonts w:hAnsi="仿宋_GB2312" w:cs="仿宋_GB2312"/>
          <w:kern w:val="2"/>
          <w:sz w:val="32"/>
          <w:szCs w:val="32"/>
        </w:rPr>
      </w:pPr>
    </w:p>
    <w:p w14:paraId="1A06A8EE">
      <w:pPr>
        <w:pStyle w:val="2"/>
        <w:spacing w:before="93"/>
        <w:ind w:firstLine="600" w:firstLineChars="200"/>
        <w:sectPr>
          <w:footerReference r:id="rId6" w:type="default"/>
          <w:pgSz w:w="11906" w:h="16838"/>
          <w:pgMar w:top="1440" w:right="1800" w:bottom="1440" w:left="1800" w:header="851" w:footer="992" w:gutter="0"/>
          <w:pgNumType w:start="1"/>
          <w:cols w:space="425" w:num="1"/>
          <w:docGrid w:type="lines" w:linePitch="312" w:charSpace="0"/>
        </w:sectPr>
      </w:pPr>
    </w:p>
    <w:p w14:paraId="1B5604CF">
      <w:pPr>
        <w:pStyle w:val="3"/>
        <w:ind w:right="440"/>
        <w:jc w:val="center"/>
        <w:rPr>
          <w:rStyle w:val="24"/>
          <w:rFonts w:ascii="黑体" w:hAnsi="黑体" w:eastAsia="黑体"/>
          <w:b w:val="0"/>
          <w:bCs/>
        </w:rPr>
      </w:pPr>
      <w:bookmarkStart w:id="38" w:name="_Toc119073710"/>
      <w:bookmarkStart w:id="39" w:name="_Toc15396602"/>
      <w:bookmarkStart w:id="40" w:name="_Toc15377204"/>
      <w:r>
        <w:rPr>
          <w:rFonts w:hint="eastAsia" w:ascii="黑体" w:hAnsi="黑体" w:eastAsia="黑体"/>
          <w:b w:val="0"/>
        </w:rPr>
        <w:t>第二部分 2021年度</w:t>
      </w:r>
      <w:r>
        <w:rPr>
          <w:rStyle w:val="24"/>
          <w:rFonts w:hint="eastAsia" w:ascii="黑体" w:hAnsi="黑体" w:eastAsia="黑体"/>
          <w:b w:val="0"/>
          <w:bCs/>
        </w:rPr>
        <w:t>单位决算情况说明</w:t>
      </w:r>
      <w:bookmarkEnd w:id="38"/>
      <w:bookmarkEnd w:id="39"/>
      <w:bookmarkEnd w:id="40"/>
    </w:p>
    <w:p w14:paraId="1F65EDD8"/>
    <w:p w14:paraId="0195AF76">
      <w:pPr>
        <w:pStyle w:val="4"/>
        <w:numPr>
          <w:ilvl w:val="0"/>
          <w:numId w:val="2"/>
        </w:numPr>
        <w:rPr>
          <w:rFonts w:ascii="仿宋" w:hAnsi="仿宋" w:eastAsia="仿宋"/>
        </w:rPr>
      </w:pPr>
      <w:bookmarkStart w:id="41" w:name="_Toc15396603"/>
      <w:bookmarkStart w:id="42" w:name="_Toc15377205"/>
      <w:bookmarkStart w:id="43" w:name="_Toc119073711"/>
      <w:r>
        <w:rPr>
          <w:rFonts w:hint="eastAsia" w:ascii="仿宋" w:hAnsi="仿宋" w:eastAsia="仿宋"/>
        </w:rPr>
        <w:t>收入支出决算总体情况说明</w:t>
      </w:r>
      <w:bookmarkEnd w:id="41"/>
      <w:bookmarkEnd w:id="42"/>
      <w:bookmarkEnd w:id="43"/>
    </w:p>
    <w:p w14:paraId="727E2651">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2021年度收、支总计7301.73万元。与2020年相比，收、支总计各增加1441.02万元，增长24.59</w:t>
      </w:r>
      <w:r>
        <w:rPr>
          <w:rFonts w:ascii="仿宋" w:hAnsi="仿宋" w:eastAsia="仿宋"/>
          <w:sz w:val="32"/>
          <w:szCs w:val="32"/>
        </w:rPr>
        <w:t>%</w:t>
      </w:r>
      <w:r>
        <w:rPr>
          <w:rFonts w:hint="eastAsia" w:ascii="仿宋" w:hAnsi="仿宋" w:eastAsia="仿宋"/>
          <w:sz w:val="32"/>
          <w:szCs w:val="32"/>
        </w:rPr>
        <w:t>。主要变动原因是学生人数增加，生均拨款增加，免学费补助增加。</w:t>
      </w:r>
    </w:p>
    <w:p w14:paraId="2BE58248">
      <w:pPr>
        <w:pStyle w:val="2"/>
        <w:spacing w:before="93"/>
      </w:pPr>
      <w:r>
        <w:drawing>
          <wp:inline distT="0" distB="0" distL="0" distR="0">
            <wp:extent cx="4733925" cy="267652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B19469">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1AEC312">
      <w:pPr>
        <w:pStyle w:val="2"/>
        <w:spacing w:before="93"/>
      </w:pPr>
    </w:p>
    <w:p w14:paraId="6C10A790">
      <w:pPr>
        <w:pStyle w:val="4"/>
        <w:numPr>
          <w:ilvl w:val="0"/>
          <w:numId w:val="2"/>
        </w:numPr>
        <w:rPr>
          <w:rFonts w:ascii="仿宋" w:hAnsi="仿宋" w:eastAsia="仿宋"/>
        </w:rPr>
      </w:pPr>
      <w:bookmarkStart w:id="44" w:name="_Toc15396604"/>
      <w:bookmarkStart w:id="45" w:name="_Toc15377206"/>
      <w:bookmarkStart w:id="46" w:name="_Toc119073712"/>
      <w:r>
        <w:rPr>
          <w:rFonts w:hint="eastAsia" w:ascii="仿宋" w:hAnsi="仿宋" w:eastAsia="仿宋"/>
        </w:rPr>
        <w:t>收入决算情况说明</w:t>
      </w:r>
      <w:bookmarkEnd w:id="44"/>
      <w:bookmarkEnd w:id="45"/>
      <w:bookmarkEnd w:id="46"/>
    </w:p>
    <w:p w14:paraId="596A2DEC">
      <w:pPr>
        <w:spacing w:line="600" w:lineRule="exact"/>
        <w:ind w:firstLine="640" w:firstLineChars="200"/>
        <w:outlineLvl w:val="1"/>
        <w:rPr>
          <w:rFonts w:ascii="仿宋" w:hAnsi="仿宋" w:eastAsia="仿宋"/>
          <w:sz w:val="32"/>
          <w:szCs w:val="32"/>
        </w:rPr>
      </w:pPr>
      <w:bookmarkStart w:id="47" w:name="_Toc119072255"/>
      <w:bookmarkStart w:id="48" w:name="_Toc119072784"/>
      <w:bookmarkStart w:id="49" w:name="_Toc119073713"/>
      <w:bookmarkStart w:id="50" w:name="_Toc113477783"/>
      <w:bookmarkStart w:id="51" w:name="_Toc119058862"/>
      <w:bookmarkStart w:id="52" w:name="_Toc119072888"/>
      <w:r>
        <w:rPr>
          <w:rFonts w:ascii="仿宋" w:hAnsi="仿宋" w:eastAsia="仿宋"/>
          <w:sz w:val="32"/>
          <w:szCs w:val="32"/>
        </w:rPr>
        <w:t>20</w:t>
      </w:r>
      <w:r>
        <w:rPr>
          <w:rFonts w:hint="eastAsia" w:ascii="仿宋" w:hAnsi="仿宋" w:eastAsia="仿宋"/>
          <w:sz w:val="32"/>
          <w:szCs w:val="32"/>
        </w:rPr>
        <w:t>21年本年收入合计7301.73万元，其中：一般公共预算财政拨款收入5279.10万元，占72.3</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；事业收入2014.87万元，占27.59</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；其他收入7.76万元，占0.11</w:t>
      </w:r>
      <w:r>
        <w:rPr>
          <w:rFonts w:ascii="仿宋" w:hAnsi="仿宋" w:eastAsia="仿宋"/>
          <w:sz w:val="32"/>
          <w:szCs w:val="32"/>
        </w:rPr>
        <w:t>%</w:t>
      </w:r>
      <w:r>
        <w:rPr>
          <w:rFonts w:hint="eastAsia" w:ascii="仿宋" w:hAnsi="仿宋" w:eastAsia="仿宋"/>
          <w:sz w:val="32"/>
          <w:szCs w:val="32"/>
        </w:rPr>
        <w:t>。</w:t>
      </w:r>
      <w:bookmarkEnd w:id="47"/>
      <w:bookmarkEnd w:id="48"/>
      <w:bookmarkEnd w:id="49"/>
      <w:bookmarkEnd w:id="50"/>
      <w:bookmarkEnd w:id="51"/>
      <w:bookmarkEnd w:id="52"/>
    </w:p>
    <w:p w14:paraId="7E40BAA0">
      <w:pPr>
        <w:pStyle w:val="2"/>
        <w:spacing w:before="93"/>
        <w:jc w:val="center"/>
      </w:pPr>
      <w:r>
        <w:drawing>
          <wp:inline distT="0" distB="0" distL="0" distR="0">
            <wp:extent cx="4819650" cy="30765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EBE4F1">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14:paraId="3C04FE70">
      <w:pPr>
        <w:spacing w:line="600" w:lineRule="exact"/>
        <w:rPr>
          <w:rFonts w:ascii="仿宋_GB2312" w:eastAsia="仿宋_GB2312"/>
          <w:sz w:val="32"/>
          <w:szCs w:val="32"/>
        </w:rPr>
      </w:pPr>
    </w:p>
    <w:p w14:paraId="7FBA7B23">
      <w:pPr>
        <w:pStyle w:val="4"/>
        <w:numPr>
          <w:ilvl w:val="0"/>
          <w:numId w:val="2"/>
        </w:numPr>
        <w:rPr>
          <w:rFonts w:ascii="仿宋" w:hAnsi="仿宋" w:eastAsia="仿宋"/>
        </w:rPr>
      </w:pPr>
      <w:bookmarkStart w:id="53" w:name="_Toc15396605"/>
      <w:bookmarkStart w:id="54" w:name="_Toc119073714"/>
      <w:bookmarkStart w:id="55" w:name="_Toc15377207"/>
      <w:r>
        <w:rPr>
          <w:rFonts w:hint="eastAsia" w:ascii="仿宋" w:hAnsi="仿宋" w:eastAsia="仿宋"/>
        </w:rPr>
        <w:t>支出决算情况说明</w:t>
      </w:r>
      <w:bookmarkEnd w:id="53"/>
      <w:bookmarkEnd w:id="54"/>
      <w:bookmarkEnd w:id="55"/>
    </w:p>
    <w:p w14:paraId="2FC2996D">
      <w:pPr>
        <w:spacing w:line="600" w:lineRule="exact"/>
        <w:ind w:firstLine="640" w:firstLineChars="200"/>
        <w:outlineLvl w:val="1"/>
        <w:rPr>
          <w:rFonts w:ascii="仿宋" w:hAnsi="仿宋" w:eastAsia="仿宋"/>
          <w:sz w:val="32"/>
          <w:szCs w:val="32"/>
        </w:rPr>
      </w:pPr>
      <w:bookmarkStart w:id="56" w:name="_Toc119073715"/>
      <w:bookmarkStart w:id="57" w:name="_Toc119072257"/>
      <w:bookmarkStart w:id="58" w:name="_Toc119072890"/>
      <w:bookmarkStart w:id="59" w:name="_Toc119058864"/>
      <w:bookmarkStart w:id="60" w:name="_Toc113477785"/>
      <w:r>
        <w:rPr>
          <w:rFonts w:ascii="仿宋" w:hAnsi="仿宋" w:eastAsia="仿宋"/>
          <w:sz w:val="32"/>
          <w:szCs w:val="32"/>
        </w:rPr>
        <w:t>20</w:t>
      </w:r>
      <w:r>
        <w:rPr>
          <w:rFonts w:hint="eastAsia" w:ascii="仿宋" w:hAnsi="仿宋" w:eastAsia="仿宋"/>
          <w:sz w:val="32"/>
          <w:szCs w:val="32"/>
        </w:rPr>
        <w:t>21年本年支出合计7165.08万元，其中：基本支出5004.89万元，占69.85</w:t>
      </w:r>
      <w:r>
        <w:rPr>
          <w:rFonts w:ascii="仿宋" w:hAnsi="仿宋" w:eastAsia="仿宋"/>
          <w:sz w:val="32"/>
          <w:szCs w:val="32"/>
        </w:rPr>
        <w:t>%</w:t>
      </w:r>
      <w:r>
        <w:rPr>
          <w:rFonts w:hint="eastAsia" w:ascii="仿宋" w:hAnsi="仿宋" w:eastAsia="仿宋"/>
          <w:sz w:val="32"/>
          <w:szCs w:val="32"/>
        </w:rPr>
        <w:t>；项目支出2160.19万元，占30.15</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56"/>
      <w:bookmarkEnd w:id="57"/>
      <w:bookmarkEnd w:id="58"/>
      <w:bookmarkEnd w:id="59"/>
      <w:bookmarkEnd w:id="60"/>
    </w:p>
    <w:p w14:paraId="30DB300A">
      <w:pPr>
        <w:pStyle w:val="2"/>
        <w:spacing w:before="93"/>
        <w:jc w:val="center"/>
      </w:pPr>
      <w:r>
        <w:drawing>
          <wp:inline distT="0" distB="0" distL="0" distR="0">
            <wp:extent cx="4486275" cy="24479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669101">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（图3：支出决算结构图）（饼状图）</w:t>
      </w:r>
    </w:p>
    <w:p w14:paraId="0EC256E1">
      <w:pPr>
        <w:pStyle w:val="4"/>
        <w:numPr>
          <w:ilvl w:val="0"/>
          <w:numId w:val="2"/>
        </w:numPr>
        <w:rPr>
          <w:rFonts w:ascii="仿宋" w:hAnsi="仿宋" w:eastAsia="仿宋"/>
        </w:rPr>
      </w:pPr>
      <w:bookmarkStart w:id="61" w:name="_Toc15377208"/>
      <w:bookmarkStart w:id="62" w:name="_Toc15396606"/>
      <w:bookmarkStart w:id="63" w:name="_Toc119073716"/>
      <w:r>
        <w:rPr>
          <w:rFonts w:hint="eastAsia" w:ascii="仿宋" w:hAnsi="仿宋" w:eastAsia="仿宋"/>
        </w:rPr>
        <w:t>财政拨款收入支出决算总体情况说明</w:t>
      </w:r>
      <w:bookmarkEnd w:id="61"/>
      <w:bookmarkEnd w:id="62"/>
      <w:bookmarkEnd w:id="63"/>
    </w:p>
    <w:p w14:paraId="22FD76FC">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21年财政拨款收、支总计5279.10万元。与</w:t>
      </w:r>
      <w:r>
        <w:rPr>
          <w:rFonts w:ascii="仿宋" w:hAnsi="仿宋" w:eastAsia="仿宋"/>
          <w:sz w:val="32"/>
          <w:szCs w:val="32"/>
        </w:rPr>
        <w:t>20</w:t>
      </w:r>
      <w:r>
        <w:rPr>
          <w:rFonts w:hint="eastAsia" w:ascii="仿宋" w:hAnsi="仿宋" w:eastAsia="仿宋"/>
          <w:sz w:val="32"/>
          <w:szCs w:val="32"/>
        </w:rPr>
        <w:t>20年相比，财政拨款收、支总计各增加1326.62万元，增长33.56</w:t>
      </w:r>
      <w:r>
        <w:rPr>
          <w:rFonts w:ascii="仿宋" w:hAnsi="仿宋" w:eastAsia="仿宋"/>
          <w:sz w:val="32"/>
          <w:szCs w:val="32"/>
        </w:rPr>
        <w:t>%</w:t>
      </w:r>
      <w:r>
        <w:rPr>
          <w:rFonts w:hint="eastAsia" w:ascii="仿宋" w:hAnsi="仿宋" w:eastAsia="仿宋"/>
          <w:sz w:val="32"/>
          <w:szCs w:val="32"/>
        </w:rPr>
        <w:t>。主要变动原因是学生人数增加，生均拨款增加，免学费补助增加。</w:t>
      </w:r>
    </w:p>
    <w:p w14:paraId="25459825">
      <w:pPr>
        <w:pStyle w:val="2"/>
        <w:spacing w:before="93"/>
        <w:jc w:val="center"/>
        <w:rPr>
          <w:rFonts w:ascii="仿宋" w:hAnsi="仿宋" w:eastAsia="仿宋"/>
          <w:sz w:val="32"/>
          <w:szCs w:val="32"/>
        </w:rPr>
      </w:pPr>
      <w:r>
        <w:drawing>
          <wp:inline distT="0" distB="0" distL="0" distR="0">
            <wp:extent cx="5274310" cy="3076575"/>
            <wp:effectExtent l="0" t="0" r="254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8D46F7">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3BCA5C7E">
      <w:pPr>
        <w:pStyle w:val="4"/>
        <w:numPr>
          <w:ilvl w:val="0"/>
          <w:numId w:val="2"/>
        </w:numPr>
        <w:rPr>
          <w:rFonts w:ascii="仿宋" w:hAnsi="仿宋" w:eastAsia="仿宋"/>
        </w:rPr>
      </w:pPr>
      <w:bookmarkStart w:id="64" w:name="_Toc15396607"/>
      <w:bookmarkStart w:id="65" w:name="_Toc15377209"/>
      <w:bookmarkStart w:id="66" w:name="_Toc119073717"/>
      <w:r>
        <w:rPr>
          <w:rFonts w:hint="eastAsia" w:ascii="仿宋" w:hAnsi="仿宋" w:eastAsia="仿宋"/>
        </w:rPr>
        <w:t>一般公共预算财政拨款支出决算情况说明</w:t>
      </w:r>
      <w:bookmarkEnd w:id="64"/>
      <w:bookmarkEnd w:id="65"/>
      <w:bookmarkEnd w:id="66"/>
    </w:p>
    <w:p w14:paraId="68020911">
      <w:pPr>
        <w:spacing w:line="600" w:lineRule="exact"/>
        <w:ind w:firstLine="643" w:firstLineChars="200"/>
        <w:outlineLvl w:val="2"/>
        <w:rPr>
          <w:rFonts w:ascii="仿宋" w:hAnsi="仿宋" w:eastAsia="仿宋"/>
          <w:b/>
          <w:sz w:val="32"/>
          <w:szCs w:val="32"/>
        </w:rPr>
      </w:pPr>
      <w:bookmarkStart w:id="67" w:name="_Toc15377210"/>
      <w:bookmarkStart w:id="68" w:name="_Toc119072260"/>
      <w:bookmarkStart w:id="69" w:name="_Toc119073718"/>
      <w:bookmarkStart w:id="70" w:name="_Toc113477788"/>
      <w:bookmarkStart w:id="71" w:name="_Toc119072893"/>
      <w:r>
        <w:rPr>
          <w:rFonts w:hint="eastAsia" w:ascii="仿宋" w:hAnsi="仿宋" w:eastAsia="仿宋"/>
          <w:b/>
          <w:sz w:val="32"/>
          <w:szCs w:val="32"/>
        </w:rPr>
        <w:t>（一）一般公共预算财政拨款支出决算总体情况</w:t>
      </w:r>
      <w:bookmarkEnd w:id="67"/>
      <w:bookmarkEnd w:id="68"/>
      <w:bookmarkEnd w:id="69"/>
      <w:bookmarkEnd w:id="70"/>
      <w:bookmarkEnd w:id="71"/>
    </w:p>
    <w:p w14:paraId="0C231C62">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21年一般公共预算财政拨款支出5279.10万元，占本年支出合计的73.68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20年相比，一般公共预算财政拨款支出增加1326.62万元，增长33.56</w:t>
      </w:r>
      <w:r>
        <w:rPr>
          <w:rFonts w:ascii="仿宋" w:hAnsi="仿宋" w:eastAsia="仿宋"/>
          <w:sz w:val="32"/>
          <w:szCs w:val="32"/>
        </w:rPr>
        <w:t>%</w:t>
      </w:r>
      <w:r>
        <w:rPr>
          <w:rFonts w:hint="eastAsia" w:ascii="仿宋" w:hAnsi="仿宋" w:eastAsia="仿宋"/>
          <w:sz w:val="32"/>
          <w:szCs w:val="32"/>
        </w:rPr>
        <w:t>。主要变动原因是学生人数增加，生均拨款增加，免学费补助增加。</w:t>
      </w:r>
    </w:p>
    <w:p w14:paraId="738F4546">
      <w:pPr>
        <w:pStyle w:val="2"/>
        <w:spacing w:before="93"/>
        <w:jc w:val="center"/>
      </w:pPr>
      <w:r>
        <w:drawing>
          <wp:inline distT="0" distB="0" distL="0" distR="0">
            <wp:extent cx="5274310" cy="3384550"/>
            <wp:effectExtent l="0" t="0" r="254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989786">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5BDB5FBE">
      <w:pPr>
        <w:spacing w:line="600" w:lineRule="exact"/>
        <w:ind w:firstLine="643" w:firstLineChars="200"/>
        <w:outlineLvl w:val="2"/>
        <w:rPr>
          <w:rFonts w:ascii="仿宋" w:hAnsi="仿宋" w:eastAsia="仿宋"/>
          <w:b/>
          <w:sz w:val="32"/>
          <w:szCs w:val="32"/>
        </w:rPr>
      </w:pPr>
      <w:bookmarkStart w:id="72" w:name="_Toc119072261"/>
      <w:bookmarkStart w:id="73" w:name="_Toc15377211"/>
      <w:bookmarkStart w:id="74" w:name="_Toc119073719"/>
      <w:bookmarkStart w:id="75" w:name="_Toc113477789"/>
      <w:bookmarkStart w:id="76" w:name="_Toc119072894"/>
      <w:r>
        <w:rPr>
          <w:rFonts w:hint="eastAsia" w:ascii="仿宋" w:hAnsi="仿宋" w:eastAsia="仿宋"/>
          <w:b/>
          <w:sz w:val="32"/>
          <w:szCs w:val="32"/>
        </w:rPr>
        <w:t>（二）一般公共预算财政拨款支出决算结构情况</w:t>
      </w:r>
      <w:bookmarkEnd w:id="72"/>
      <w:bookmarkEnd w:id="73"/>
      <w:bookmarkEnd w:id="74"/>
      <w:bookmarkEnd w:id="75"/>
      <w:bookmarkEnd w:id="76"/>
    </w:p>
    <w:p w14:paraId="152714A6">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21年一般公共预算财政拨款支出5279.10万元，主要用于以下方面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教育支出（类）</w:t>
      </w:r>
      <w:r>
        <w:rPr>
          <w:rFonts w:hint="eastAsia" w:ascii="仿宋" w:hAnsi="仿宋" w:eastAsia="仿宋"/>
          <w:sz w:val="32"/>
          <w:szCs w:val="32"/>
        </w:rPr>
        <w:t>5060.18万元，占95.85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支出218.92万元，占4.15</w:t>
      </w:r>
      <w:r>
        <w:rPr>
          <w:rFonts w:ascii="仿宋" w:hAnsi="仿宋" w:eastAsia="仿宋"/>
          <w:sz w:val="32"/>
          <w:szCs w:val="32"/>
        </w:rPr>
        <w:t>%</w:t>
      </w:r>
      <w:r>
        <w:rPr>
          <w:rFonts w:hint="eastAsia" w:ascii="仿宋" w:hAnsi="仿宋" w:eastAsia="仿宋"/>
          <w:sz w:val="32"/>
          <w:szCs w:val="32"/>
        </w:rPr>
        <w:t>。</w:t>
      </w:r>
      <w:r>
        <w:rPr>
          <w:rFonts w:ascii="仿宋" w:hAnsi="仿宋" w:eastAsia="仿宋"/>
          <w:b/>
          <w:sz w:val="32"/>
          <w:szCs w:val="32"/>
        </w:rPr>
        <w:t xml:space="preserve"> </w:t>
      </w:r>
    </w:p>
    <w:p w14:paraId="18DCD63A">
      <w:pPr>
        <w:pStyle w:val="2"/>
        <w:spacing w:before="93"/>
        <w:jc w:val="center"/>
      </w:pPr>
      <w:r>
        <w:drawing>
          <wp:inline distT="0" distB="0" distL="0" distR="0">
            <wp:extent cx="3790950" cy="22860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1C1C54">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92AC9BE">
      <w:pPr>
        <w:spacing w:line="600" w:lineRule="exact"/>
        <w:ind w:firstLine="643" w:firstLineChars="200"/>
        <w:outlineLvl w:val="2"/>
        <w:rPr>
          <w:rFonts w:ascii="仿宋" w:hAnsi="仿宋" w:eastAsia="仿宋"/>
          <w:b/>
          <w:sz w:val="32"/>
          <w:szCs w:val="32"/>
        </w:rPr>
      </w:pPr>
      <w:bookmarkStart w:id="77" w:name="_Toc15377212"/>
      <w:bookmarkStart w:id="78" w:name="_Toc119073720"/>
      <w:bookmarkStart w:id="79" w:name="_Toc113477790"/>
      <w:bookmarkStart w:id="80" w:name="_Toc119072262"/>
      <w:bookmarkStart w:id="81" w:name="_Toc119072895"/>
      <w:r>
        <w:rPr>
          <w:rFonts w:hint="eastAsia" w:ascii="仿宋" w:hAnsi="仿宋" w:eastAsia="仿宋"/>
          <w:b/>
          <w:sz w:val="32"/>
          <w:szCs w:val="32"/>
        </w:rPr>
        <w:t>（三）一般公共预算财政拨款支出决算具体情况</w:t>
      </w:r>
      <w:bookmarkEnd w:id="77"/>
      <w:bookmarkEnd w:id="78"/>
      <w:bookmarkEnd w:id="79"/>
      <w:bookmarkEnd w:id="80"/>
      <w:bookmarkEnd w:id="81"/>
    </w:p>
    <w:p w14:paraId="6696CC3C">
      <w:pPr>
        <w:spacing w:line="600" w:lineRule="exact"/>
        <w:ind w:firstLine="643" w:firstLineChars="200"/>
        <w:outlineLvl w:val="2"/>
        <w:rPr>
          <w:rFonts w:ascii="仿宋" w:hAnsi="仿宋" w:eastAsia="仿宋"/>
          <w:sz w:val="32"/>
          <w:szCs w:val="32"/>
        </w:rPr>
      </w:pPr>
      <w:bookmarkStart w:id="82" w:name="_Toc119073721"/>
      <w:bookmarkStart w:id="83" w:name="_Toc15378460"/>
      <w:bookmarkStart w:id="84" w:name="_Toc119058870"/>
      <w:bookmarkStart w:id="85" w:name="_Toc15377213"/>
      <w:bookmarkStart w:id="86" w:name="_Toc15377444"/>
      <w:bookmarkStart w:id="87" w:name="_Toc113477791"/>
      <w:bookmarkStart w:id="88" w:name="_Toc119072263"/>
      <w:bookmarkStart w:id="89" w:name="_Toc119072896"/>
      <w:r>
        <w:rPr>
          <w:rFonts w:hint="eastAsia" w:ascii="仿宋" w:hAnsi="仿宋" w:eastAsia="仿宋"/>
          <w:b/>
          <w:sz w:val="32"/>
          <w:szCs w:val="32"/>
        </w:rPr>
        <w:t>2021年一般公共预算支出决算数为5279.10万元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82"/>
      <w:bookmarkEnd w:id="83"/>
      <w:bookmarkEnd w:id="84"/>
      <w:bookmarkEnd w:id="85"/>
      <w:bookmarkEnd w:id="86"/>
      <w:bookmarkEnd w:id="87"/>
      <w:bookmarkEnd w:id="88"/>
      <w:bookmarkEnd w:id="89"/>
    </w:p>
    <w:p w14:paraId="02E6D43B">
      <w:pPr>
        <w:spacing w:line="600" w:lineRule="exact"/>
        <w:ind w:firstLine="643" w:firstLineChars="200"/>
        <w:rPr>
          <w:rStyle w:val="14"/>
          <w:rFonts w:ascii="仿宋" w:hAnsi="仿宋" w:eastAsia="仿宋"/>
          <w:b w:val="0"/>
          <w:bCs/>
          <w:sz w:val="32"/>
          <w:szCs w:val="32"/>
        </w:rPr>
      </w:pPr>
      <w:r>
        <w:rPr>
          <w:rStyle w:val="14"/>
          <w:rFonts w:hint="eastAsia" w:ascii="仿宋" w:hAnsi="仿宋" w:eastAsia="仿宋"/>
          <w:bCs/>
          <w:sz w:val="32"/>
          <w:szCs w:val="32"/>
        </w:rPr>
        <w:t>1.教育（类）职业教育（款）中等职业教育（项）</w:t>
      </w:r>
      <w:r>
        <w:rPr>
          <w:rStyle w:val="14"/>
          <w:rFonts w:hint="eastAsia" w:ascii="仿宋" w:hAnsi="仿宋" w:eastAsia="仿宋"/>
          <w:bCs/>
          <w:sz w:val="32"/>
          <w:szCs w:val="32"/>
          <w:lang w:eastAsia="zh-CN"/>
        </w:rPr>
        <w:t>：</w:t>
      </w:r>
      <w:r>
        <w:rPr>
          <w:rStyle w:val="14"/>
          <w:rFonts w:hint="eastAsia" w:ascii="仿宋" w:hAnsi="仿宋" w:eastAsia="仿宋"/>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rPr>
        <w:t>5060.18</w:t>
      </w:r>
      <w:r>
        <w:rPr>
          <w:rStyle w:val="14"/>
          <w:rFonts w:hint="eastAsia" w:ascii="仿宋" w:hAnsi="仿宋" w:eastAsia="仿宋"/>
          <w:b w:val="0"/>
          <w:bCs/>
          <w:sz w:val="32"/>
          <w:szCs w:val="32"/>
        </w:rPr>
        <w:t>万元，完成预算100%。</w:t>
      </w:r>
    </w:p>
    <w:p w14:paraId="7831A623">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2.社会保障和就业（类）行政事业单位养老支出（款）事业单位离退休（项）</w:t>
      </w:r>
      <w:r>
        <w:rPr>
          <w:rStyle w:val="14"/>
          <w:rFonts w:hint="eastAsia" w:ascii="仿宋" w:hAnsi="仿宋" w:eastAsia="仿宋"/>
          <w:bCs/>
          <w:sz w:val="32"/>
          <w:szCs w:val="32"/>
          <w:lang w:eastAsia="zh-CN"/>
        </w:rPr>
        <w:t>：</w:t>
      </w:r>
      <w:r>
        <w:rPr>
          <w:rStyle w:val="14"/>
          <w:rFonts w:hint="eastAsia" w:ascii="仿宋" w:hAnsi="仿宋" w:eastAsia="仿宋"/>
          <w:bCs/>
          <w:sz w:val="32"/>
          <w:szCs w:val="32"/>
        </w:rPr>
        <w:t xml:space="preserve"> </w:t>
      </w:r>
      <w:r>
        <w:rPr>
          <w:rStyle w:val="14"/>
          <w:rFonts w:hint="eastAsia" w:ascii="仿宋" w:hAnsi="仿宋" w:eastAsia="仿宋"/>
          <w:b w:val="0"/>
          <w:bCs/>
          <w:sz w:val="32"/>
          <w:szCs w:val="32"/>
        </w:rPr>
        <w:t>支出决算为</w:t>
      </w:r>
      <w:r>
        <w:rPr>
          <w:rFonts w:hint="eastAsia" w:ascii="仿宋" w:hAnsi="仿宋" w:eastAsia="仿宋"/>
          <w:sz w:val="32"/>
          <w:szCs w:val="32"/>
        </w:rPr>
        <w:t>218.92</w:t>
      </w:r>
      <w:r>
        <w:rPr>
          <w:rStyle w:val="14"/>
          <w:rFonts w:hint="eastAsia" w:ascii="仿宋" w:hAnsi="仿宋" w:eastAsia="仿宋"/>
          <w:b w:val="0"/>
          <w:bCs/>
          <w:sz w:val="32"/>
          <w:szCs w:val="32"/>
        </w:rPr>
        <w:t>万元，完成预算100%。</w:t>
      </w:r>
    </w:p>
    <w:p w14:paraId="4367E944">
      <w:pPr>
        <w:spacing w:line="600" w:lineRule="exact"/>
        <w:ind w:firstLine="640"/>
        <w:rPr>
          <w:rFonts w:ascii="仿宋" w:hAnsi="仿宋" w:eastAsia="仿宋"/>
          <w:b/>
          <w:sz w:val="32"/>
          <w:szCs w:val="32"/>
        </w:rPr>
      </w:pPr>
    </w:p>
    <w:p w14:paraId="514539E4">
      <w:pPr>
        <w:pStyle w:val="4"/>
        <w:numPr>
          <w:ilvl w:val="0"/>
          <w:numId w:val="2"/>
        </w:numPr>
        <w:rPr>
          <w:rFonts w:ascii="仿宋" w:hAnsi="仿宋" w:eastAsia="仿宋"/>
          <w:bCs w:val="0"/>
        </w:rPr>
      </w:pPr>
      <w:bookmarkStart w:id="90" w:name="_Toc119073722"/>
      <w:bookmarkStart w:id="91" w:name="_Toc15396608"/>
      <w:bookmarkStart w:id="92" w:name="_Toc15377214"/>
      <w:r>
        <w:rPr>
          <w:rFonts w:hint="eastAsia" w:ascii="仿宋" w:hAnsi="仿宋" w:eastAsia="仿宋"/>
          <w:b w:val="0"/>
          <w:bCs w:val="0"/>
        </w:rPr>
        <w:t>一</w:t>
      </w:r>
      <w:r>
        <w:rPr>
          <w:rFonts w:hint="eastAsia" w:ascii="仿宋" w:hAnsi="仿宋" w:eastAsia="仿宋"/>
          <w:bCs w:val="0"/>
        </w:rPr>
        <w:t>般公共预算财政拨款基本支出决算情况说明</w:t>
      </w:r>
      <w:bookmarkEnd w:id="90"/>
      <w:bookmarkEnd w:id="91"/>
      <w:bookmarkEnd w:id="92"/>
      <w:r>
        <w:rPr>
          <w:rFonts w:ascii="仿宋" w:hAnsi="仿宋" w:eastAsia="仿宋"/>
          <w:bCs w:val="0"/>
        </w:rPr>
        <w:tab/>
      </w:r>
    </w:p>
    <w:p w14:paraId="1A43CC3B">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21年一般公共预算财政拨款基本支出3147.63万元，其中：</w:t>
      </w:r>
    </w:p>
    <w:p w14:paraId="45087143">
      <w:pPr>
        <w:ind w:firstLine="640" w:firstLineChars="200"/>
        <w:rPr>
          <w:rFonts w:ascii="仿宋" w:hAnsi="仿宋" w:eastAsia="仿宋"/>
          <w:sz w:val="32"/>
          <w:szCs w:val="32"/>
        </w:rPr>
      </w:pPr>
      <w:r>
        <w:rPr>
          <w:rFonts w:hint="eastAsia" w:ascii="仿宋" w:hAnsi="仿宋" w:eastAsia="仿宋"/>
          <w:sz w:val="32"/>
          <w:szCs w:val="32"/>
        </w:rPr>
        <w:t>人员经费2472.91万元，主要包括：基本工资、津贴补贴、绩效工资、机关事业单位基本养老保险缴费、职业年金缴费、职工基本医疗保险缴费、其他社会保障缴费、其他工资福利支出、离休费、生活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公用经费674.72万元，主要包括：办公费、印刷费、水费、电费、邮电费、差旅费、维修（护）费、劳务费、委托业务费、工会经费、福利费、其他商品和服务支出等。</w:t>
      </w:r>
    </w:p>
    <w:p w14:paraId="27CCA589">
      <w:pPr>
        <w:spacing w:line="600" w:lineRule="exact"/>
        <w:ind w:firstLine="640"/>
        <w:rPr>
          <w:rFonts w:ascii="仿宋" w:hAnsi="仿宋" w:eastAsia="仿宋"/>
          <w:b/>
          <w:sz w:val="32"/>
          <w:szCs w:val="32"/>
        </w:rPr>
      </w:pPr>
    </w:p>
    <w:p w14:paraId="02529957">
      <w:pPr>
        <w:pStyle w:val="4"/>
        <w:numPr>
          <w:ilvl w:val="0"/>
          <w:numId w:val="2"/>
        </w:numPr>
        <w:rPr>
          <w:rFonts w:ascii="仿宋" w:hAnsi="仿宋" w:eastAsia="仿宋"/>
        </w:rPr>
      </w:pPr>
      <w:bookmarkStart w:id="93" w:name="_Toc119073723"/>
      <w:bookmarkStart w:id="94" w:name="_Toc15377215"/>
      <w:bookmarkStart w:id="95" w:name="_Toc15396609"/>
      <w:r>
        <w:rPr>
          <w:rFonts w:hint="eastAsia" w:ascii="仿宋" w:hAnsi="仿宋" w:eastAsia="仿宋"/>
        </w:rPr>
        <w:t>“三公”经费财政拨款支出决算情况说明</w:t>
      </w:r>
      <w:bookmarkEnd w:id="93"/>
      <w:bookmarkEnd w:id="94"/>
      <w:bookmarkEnd w:id="95"/>
    </w:p>
    <w:p w14:paraId="7F593476">
      <w:pPr>
        <w:spacing w:line="600" w:lineRule="exact"/>
        <w:ind w:firstLine="640"/>
        <w:outlineLvl w:val="2"/>
        <w:rPr>
          <w:rFonts w:ascii="仿宋" w:hAnsi="仿宋" w:eastAsia="仿宋"/>
          <w:b/>
          <w:sz w:val="32"/>
          <w:szCs w:val="32"/>
        </w:rPr>
      </w:pPr>
      <w:bookmarkStart w:id="96" w:name="_Toc113477794"/>
      <w:bookmarkStart w:id="97" w:name="_Toc119072266"/>
      <w:bookmarkStart w:id="98" w:name="_Toc119073724"/>
      <w:bookmarkStart w:id="99" w:name="_Toc15377216"/>
      <w:bookmarkStart w:id="100" w:name="_Toc119072899"/>
      <w:r>
        <w:rPr>
          <w:rFonts w:hint="eastAsia" w:ascii="仿宋" w:hAnsi="仿宋" w:eastAsia="仿宋"/>
          <w:b/>
          <w:sz w:val="32"/>
          <w:szCs w:val="32"/>
        </w:rPr>
        <w:t>（一）“三公”经费财政拨款支出决算总体情况说明</w:t>
      </w:r>
      <w:bookmarkEnd w:id="96"/>
      <w:bookmarkEnd w:id="97"/>
      <w:bookmarkEnd w:id="98"/>
      <w:bookmarkEnd w:id="99"/>
      <w:bookmarkEnd w:id="100"/>
    </w:p>
    <w:p w14:paraId="23E812F3">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21年“三公”经费财政拨款支出决算为0万元，决算数与预算数持平。</w:t>
      </w:r>
    </w:p>
    <w:p w14:paraId="4FC8623B">
      <w:pPr>
        <w:spacing w:line="600" w:lineRule="exact"/>
        <w:ind w:firstLine="640"/>
        <w:outlineLvl w:val="2"/>
        <w:rPr>
          <w:rFonts w:ascii="仿宋" w:hAnsi="仿宋" w:eastAsia="仿宋"/>
          <w:b/>
          <w:sz w:val="32"/>
          <w:szCs w:val="32"/>
        </w:rPr>
      </w:pPr>
      <w:bookmarkStart w:id="101" w:name="_Toc119072267"/>
      <w:bookmarkStart w:id="102" w:name="_Toc119072900"/>
      <w:bookmarkStart w:id="103" w:name="_Toc119073725"/>
      <w:bookmarkStart w:id="104" w:name="_Toc113477795"/>
      <w:bookmarkStart w:id="105" w:name="_Toc15377217"/>
      <w:r>
        <w:rPr>
          <w:rFonts w:hint="eastAsia" w:ascii="仿宋" w:hAnsi="仿宋" w:eastAsia="仿宋"/>
          <w:b/>
          <w:sz w:val="32"/>
          <w:szCs w:val="32"/>
        </w:rPr>
        <w:t>（二）“三公”经费财政拨款支出决算具体情况说明</w:t>
      </w:r>
      <w:bookmarkEnd w:id="101"/>
      <w:bookmarkEnd w:id="102"/>
      <w:bookmarkEnd w:id="103"/>
      <w:bookmarkEnd w:id="104"/>
      <w:bookmarkEnd w:id="105"/>
    </w:p>
    <w:p w14:paraId="7416AE9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21年“三公”经费财政拨款支出决算中，因公出国（境）费支出决算0万元；公务用车购置及运行维护费支出决算0万元；公务接待费支出决算0万元。</w:t>
      </w:r>
    </w:p>
    <w:p w14:paraId="2630E2A2">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0万元。因公出国（境）支出决算与</w:t>
      </w:r>
      <w:r>
        <w:rPr>
          <w:rFonts w:ascii="仿宋_GB2312" w:eastAsia="仿宋_GB2312"/>
          <w:sz w:val="32"/>
          <w:szCs w:val="32"/>
        </w:rPr>
        <w:t>20</w:t>
      </w:r>
      <w:r>
        <w:rPr>
          <w:rFonts w:hint="eastAsia" w:ascii="仿宋_GB2312" w:eastAsia="仿宋_GB2312"/>
          <w:sz w:val="32"/>
          <w:szCs w:val="32"/>
        </w:rPr>
        <w:t>20年持平，2020年为0万元。主要原因是2021年未安排出国事宜。</w:t>
      </w:r>
    </w:p>
    <w:p w14:paraId="0573E207">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20年持平。主要原因是2021年未发生财政拨款支出的公务用车购置及运行维护费。</w:t>
      </w:r>
    </w:p>
    <w:p w14:paraId="436D970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月底，单位共有公务用车4辆，其中：轿车2辆、越野车1辆、载客汽车1辆。</w:t>
      </w:r>
    </w:p>
    <w:p w14:paraId="123CB884">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19529104">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w:t>
      </w:r>
      <w:r>
        <w:rPr>
          <w:rFonts w:hint="eastAsia" w:ascii="仿宋_GB2312" w:eastAsia="仿宋_GB2312"/>
          <w:sz w:val="32"/>
          <w:szCs w:val="32"/>
        </w:rPr>
        <w:t>公务接待费支出决算与</w:t>
      </w:r>
      <w:r>
        <w:rPr>
          <w:rFonts w:ascii="仿宋_GB2312" w:eastAsia="仿宋_GB2312"/>
          <w:sz w:val="32"/>
          <w:szCs w:val="32"/>
        </w:rPr>
        <w:t>20</w:t>
      </w:r>
      <w:r>
        <w:rPr>
          <w:rFonts w:hint="eastAsia" w:ascii="仿宋_GB2312" w:eastAsia="仿宋_GB2312"/>
          <w:sz w:val="32"/>
          <w:szCs w:val="32"/>
        </w:rPr>
        <w:t>20年持平。主要原因是2021年未发生财政拨款支出的公务接待费。其中：</w:t>
      </w:r>
    </w:p>
    <w:p w14:paraId="1F2F27B5">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14:paraId="23F41091">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77DB2DA2">
      <w:pPr>
        <w:spacing w:line="600" w:lineRule="exact"/>
        <w:ind w:firstLine="640"/>
        <w:outlineLvl w:val="1"/>
        <w:rPr>
          <w:rFonts w:ascii="黑体" w:eastAsia="黑体"/>
          <w:sz w:val="32"/>
          <w:szCs w:val="32"/>
        </w:rPr>
      </w:pPr>
      <w:bookmarkStart w:id="106" w:name="_Toc15396610"/>
      <w:bookmarkStart w:id="107" w:name="_Toc15377218"/>
    </w:p>
    <w:p w14:paraId="3509E9FC">
      <w:pPr>
        <w:pStyle w:val="4"/>
        <w:numPr>
          <w:ilvl w:val="0"/>
          <w:numId w:val="2"/>
        </w:numPr>
        <w:rPr>
          <w:rFonts w:ascii="仿宋" w:hAnsi="仿宋" w:eastAsia="仿宋"/>
        </w:rPr>
      </w:pPr>
      <w:bookmarkStart w:id="108" w:name="_Toc119073726"/>
      <w:r>
        <w:rPr>
          <w:rFonts w:hint="eastAsia" w:ascii="仿宋" w:hAnsi="仿宋" w:eastAsia="仿宋"/>
        </w:rPr>
        <w:t>政府性基金预算支出决算情况说明</w:t>
      </w:r>
      <w:bookmarkEnd w:id="106"/>
      <w:bookmarkEnd w:id="107"/>
      <w:bookmarkEnd w:id="108"/>
    </w:p>
    <w:p w14:paraId="706DCFB7">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44655AA3">
      <w:pPr>
        <w:spacing w:line="600" w:lineRule="exact"/>
        <w:ind w:firstLine="640"/>
        <w:rPr>
          <w:rFonts w:ascii="仿宋_GB2312" w:eastAsia="仿宋_GB2312"/>
          <w:sz w:val="32"/>
          <w:szCs w:val="32"/>
        </w:rPr>
      </w:pPr>
    </w:p>
    <w:p w14:paraId="3C48866D">
      <w:pPr>
        <w:pStyle w:val="4"/>
        <w:numPr>
          <w:ilvl w:val="0"/>
          <w:numId w:val="2"/>
        </w:numPr>
        <w:rPr>
          <w:rFonts w:ascii="仿宋" w:hAnsi="仿宋" w:eastAsia="仿宋"/>
        </w:rPr>
      </w:pPr>
      <w:bookmarkStart w:id="109" w:name="_Toc15377219"/>
      <w:bookmarkStart w:id="110" w:name="_Toc15396611"/>
      <w:bookmarkStart w:id="111" w:name="_Toc119073727"/>
      <w:r>
        <w:rPr>
          <w:rFonts w:hint="eastAsia" w:ascii="仿宋" w:hAnsi="仿宋" w:eastAsia="仿宋"/>
        </w:rPr>
        <w:t>国有资本经营预算支出决算情况说明</w:t>
      </w:r>
      <w:bookmarkEnd w:id="109"/>
      <w:bookmarkEnd w:id="110"/>
      <w:bookmarkEnd w:id="111"/>
    </w:p>
    <w:p w14:paraId="2D86CF81">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09486C04">
      <w:pPr>
        <w:spacing w:line="580" w:lineRule="exact"/>
        <w:jc w:val="center"/>
        <w:rPr>
          <w:rFonts w:ascii="方正小标宋简体" w:hAnsi="方正小标宋简体" w:eastAsia="方正小标宋简体" w:cs="方正小标宋简体"/>
          <w:sz w:val="44"/>
          <w:szCs w:val="44"/>
        </w:rPr>
      </w:pPr>
    </w:p>
    <w:p w14:paraId="3F3A2435">
      <w:pPr>
        <w:pStyle w:val="4"/>
        <w:numPr>
          <w:ilvl w:val="0"/>
          <w:numId w:val="2"/>
        </w:numPr>
        <w:rPr>
          <w:rFonts w:ascii="仿宋" w:hAnsi="仿宋" w:eastAsia="仿宋"/>
        </w:rPr>
      </w:pPr>
      <w:bookmarkStart w:id="112" w:name="_Toc15396612"/>
      <w:bookmarkStart w:id="113" w:name="_Toc15377221"/>
      <w:bookmarkStart w:id="114" w:name="_Toc119073728"/>
      <w:r>
        <w:rPr>
          <w:rFonts w:hint="eastAsia" w:ascii="仿宋" w:hAnsi="仿宋" w:eastAsia="仿宋"/>
        </w:rPr>
        <w:t>其他重要事项的情况说明</w:t>
      </w:r>
      <w:bookmarkEnd w:id="112"/>
      <w:bookmarkEnd w:id="113"/>
      <w:bookmarkEnd w:id="114"/>
    </w:p>
    <w:p w14:paraId="6BB7E06D">
      <w:pPr>
        <w:autoSpaceDE w:val="0"/>
        <w:autoSpaceDN w:val="0"/>
        <w:adjustRightInd w:val="0"/>
        <w:spacing w:line="600" w:lineRule="exact"/>
        <w:ind w:firstLine="643" w:firstLineChars="200"/>
        <w:jc w:val="left"/>
        <w:outlineLvl w:val="2"/>
        <w:rPr>
          <w:rFonts w:ascii="仿宋" w:hAnsi="仿宋" w:eastAsia="仿宋"/>
          <w:b/>
          <w:sz w:val="32"/>
          <w:szCs w:val="32"/>
        </w:rPr>
      </w:pPr>
      <w:bookmarkStart w:id="115" w:name="_Toc119072904"/>
      <w:bookmarkStart w:id="116" w:name="_Toc119073729"/>
      <w:bookmarkStart w:id="117" w:name="_Toc15377223"/>
      <w:bookmarkStart w:id="118" w:name="_Toc119072271"/>
      <w:bookmarkStart w:id="119" w:name="_Toc113477799"/>
      <w:r>
        <w:rPr>
          <w:rFonts w:hint="eastAsia" w:ascii="仿宋" w:hAnsi="仿宋" w:eastAsia="仿宋"/>
          <w:b/>
          <w:sz w:val="32"/>
          <w:szCs w:val="32"/>
        </w:rPr>
        <w:t>（一）机关运行经费支出情况</w:t>
      </w:r>
    </w:p>
    <w:p w14:paraId="537805EC">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2021年无机关运行经费支出。</w:t>
      </w:r>
    </w:p>
    <w:p w14:paraId="23B71A2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115"/>
      <w:bookmarkEnd w:id="116"/>
      <w:bookmarkEnd w:id="117"/>
      <w:bookmarkEnd w:id="118"/>
      <w:bookmarkEnd w:id="119"/>
    </w:p>
    <w:p w14:paraId="29DA0ADC">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四川矿产机电技师学院政府采购支出总额378.05万元，其中：政府采购货物支出138.13万元、政府采购工程支出239.92万元、政府采购服务支出0万元。主要用于改善办学条件。授予中小企业合同金额239.92万元，占政府采购支出总额的63.46</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38321817">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0" w:name="_Toc15377224"/>
      <w:bookmarkStart w:id="121" w:name="_Toc119072905"/>
      <w:bookmarkStart w:id="122" w:name="_Toc119073730"/>
      <w:bookmarkStart w:id="123" w:name="_Toc119072272"/>
      <w:bookmarkStart w:id="124" w:name="_Toc113477800"/>
      <w:r>
        <w:rPr>
          <w:rFonts w:hint="eastAsia" w:ascii="仿宋" w:hAnsi="仿宋" w:eastAsia="仿宋"/>
          <w:b/>
          <w:sz w:val="32"/>
          <w:szCs w:val="32"/>
        </w:rPr>
        <w:t>（三）国有资产占有使用情况</w:t>
      </w:r>
      <w:bookmarkEnd w:id="120"/>
      <w:bookmarkEnd w:id="121"/>
      <w:bookmarkEnd w:id="122"/>
      <w:bookmarkEnd w:id="123"/>
      <w:bookmarkEnd w:id="124"/>
    </w:p>
    <w:p w14:paraId="4F12C8E5">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日，四川矿产机电技师学院共有车辆4辆，其中：主要领导干部用车0辆、机要通信用车0辆、应急保障用车0辆、其他用车4辆，其他用车主要是用于学院日常用车。单价</w:t>
      </w:r>
      <w:r>
        <w:rPr>
          <w:rFonts w:ascii="仿宋_GB2312" w:eastAsia="仿宋_GB2312"/>
          <w:sz w:val="32"/>
          <w:szCs w:val="32"/>
        </w:rPr>
        <w:t>50</w:t>
      </w:r>
      <w:r>
        <w:rPr>
          <w:rFonts w:hint="eastAsia" w:ascii="仿宋_GB2312" w:eastAsia="仿宋_GB2312"/>
          <w:sz w:val="32"/>
          <w:szCs w:val="32"/>
        </w:rPr>
        <w:t>万元以上通用设备2台（套），单价</w:t>
      </w:r>
      <w:r>
        <w:rPr>
          <w:rFonts w:ascii="仿宋_GB2312" w:eastAsia="仿宋_GB2312"/>
          <w:sz w:val="32"/>
          <w:szCs w:val="32"/>
        </w:rPr>
        <w:t>100</w:t>
      </w:r>
      <w:r>
        <w:rPr>
          <w:rFonts w:hint="eastAsia" w:ascii="仿宋_GB2312" w:eastAsia="仿宋_GB2312"/>
          <w:sz w:val="32"/>
          <w:szCs w:val="32"/>
        </w:rPr>
        <w:t>万元以上专用设备0台（套）。</w:t>
      </w:r>
    </w:p>
    <w:p w14:paraId="39735BC2">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5" w:name="_Toc113477801"/>
      <w:bookmarkStart w:id="126" w:name="_Toc119072273"/>
      <w:bookmarkStart w:id="127" w:name="_Toc119073731"/>
      <w:bookmarkStart w:id="128" w:name="_Toc119072906"/>
      <w:r>
        <w:rPr>
          <w:rFonts w:hint="eastAsia" w:ascii="仿宋" w:hAnsi="仿宋" w:eastAsia="仿宋"/>
          <w:b/>
          <w:sz w:val="32"/>
          <w:szCs w:val="32"/>
        </w:rPr>
        <w:t>（四）预算绩效管理情况</w:t>
      </w:r>
      <w:bookmarkEnd w:id="125"/>
      <w:bookmarkEnd w:id="126"/>
      <w:bookmarkEnd w:id="127"/>
      <w:bookmarkEnd w:id="128"/>
    </w:p>
    <w:p w14:paraId="00A6A367">
      <w:pPr>
        <w:spacing w:line="580" w:lineRule="exact"/>
        <w:ind w:firstLine="640" w:firstLineChars="200"/>
        <w:rPr>
          <w:highlight w:val="yellow"/>
        </w:rPr>
      </w:pPr>
      <w:r>
        <w:rPr>
          <w:rFonts w:hint="eastAsia" w:ascii="仿宋_GB2312" w:hAnsi="仿宋_GB2312" w:eastAsia="仿宋_GB2312" w:cs="仿宋_GB2312"/>
          <w:sz w:val="32"/>
          <w:szCs w:val="32"/>
        </w:rPr>
        <w:t>根据预算绩效管理要求，本单位在2021年度预算编制阶段，组织对第二批中等职业教育质量提升工程中央和省级奖补资金项目、免学费项目共2个项目开展了预算事前绩效评估，对2个项目编制了绩效目标，预算执行过程中，选取2个项目开展绩效监控，年终执行完毕后，对2个项目开展了绩效自评，2021年特定目标类部门预算项目绩效目标自评表见附件（第四部分）。</w:t>
      </w:r>
    </w:p>
    <w:p w14:paraId="7EF99EE0">
      <w:pPr>
        <w:widowControl/>
        <w:jc w:val="left"/>
        <w:rPr>
          <w:rFonts w:ascii="仿宋_GB2312" w:eastAsia="仿宋_GB2312"/>
          <w:b/>
          <w:sz w:val="32"/>
          <w:szCs w:val="32"/>
        </w:rPr>
      </w:pPr>
      <w:r>
        <w:rPr>
          <w:rFonts w:ascii="仿宋_GB2312" w:eastAsia="仿宋_GB2312"/>
          <w:b/>
          <w:sz w:val="32"/>
          <w:szCs w:val="32"/>
        </w:rPr>
        <w:br w:type="page"/>
      </w:r>
    </w:p>
    <w:p w14:paraId="43984390">
      <w:pPr>
        <w:numPr>
          <w:ilvl w:val="0"/>
          <w:numId w:val="3"/>
        </w:numPr>
        <w:spacing w:line="600" w:lineRule="exact"/>
        <w:ind w:firstLine="660" w:firstLineChars="150"/>
        <w:jc w:val="center"/>
        <w:outlineLvl w:val="0"/>
        <w:rPr>
          <w:rStyle w:val="24"/>
          <w:rFonts w:ascii="黑体" w:hAnsi="黑体" w:eastAsia="黑体"/>
          <w:b w:val="0"/>
        </w:rPr>
      </w:pPr>
      <w:bookmarkStart w:id="129" w:name="_Toc119073732"/>
      <w:bookmarkStart w:id="130" w:name="_Toc15396613"/>
      <w:bookmarkStart w:id="131" w:name="_Toc15377225"/>
      <w:r>
        <w:rPr>
          <w:rFonts w:hint="eastAsia" w:ascii="黑体" w:hAnsi="黑体" w:eastAsia="黑体"/>
          <w:sz w:val="44"/>
          <w:szCs w:val="44"/>
        </w:rPr>
        <w:t>名</w:t>
      </w:r>
      <w:r>
        <w:rPr>
          <w:rStyle w:val="24"/>
          <w:rFonts w:hint="eastAsia" w:ascii="黑体" w:hAnsi="黑体" w:eastAsia="黑体"/>
          <w:b w:val="0"/>
        </w:rPr>
        <w:t>词解释</w:t>
      </w:r>
      <w:bookmarkEnd w:id="129"/>
      <w:bookmarkEnd w:id="130"/>
      <w:bookmarkEnd w:id="131"/>
    </w:p>
    <w:p w14:paraId="0B2FE7F1">
      <w:pPr>
        <w:spacing w:line="600" w:lineRule="exact"/>
        <w:jc w:val="left"/>
        <w:rPr>
          <w:rFonts w:ascii="宋体"/>
          <w:b/>
          <w:sz w:val="44"/>
          <w:szCs w:val="44"/>
        </w:rPr>
      </w:pPr>
    </w:p>
    <w:p w14:paraId="7D6E6E97">
      <w:pPr>
        <w:pStyle w:val="22"/>
        <w:spacing w:line="560" w:lineRule="exact"/>
        <w:ind w:firstLine="640" w:firstLineChars="200"/>
        <w:rPr>
          <w:rFonts w:ascii="仿宋_GB2312" w:eastAsia="仿宋_GB2312"/>
          <w:sz w:val="32"/>
          <w:szCs w:val="32"/>
        </w:rPr>
      </w:pPr>
      <w:bookmarkStart w:id="132" w:name="_Toc15396614"/>
      <w:bookmarkStart w:id="133" w:name="_Toc15377226"/>
      <w:r>
        <w:rPr>
          <w:rFonts w:hint="eastAsia" w:ascii="仿宋_GB2312" w:eastAsia="仿宋_GB2312"/>
          <w:sz w:val="32"/>
          <w:szCs w:val="32"/>
        </w:rPr>
        <w:t>1.财政拨款收入：指单位从同级财政部门取得的财政预算资金。</w:t>
      </w:r>
    </w:p>
    <w:p w14:paraId="47011A5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2.事业收入：指事业单位开展专业业务活动及辅助活动取得的收入。主要是教育收费等。</w:t>
      </w:r>
    </w:p>
    <w:p w14:paraId="1976CDF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096A6EFC">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4.其他收入：指单位取得的除上述收入以外的各项收入。主要是离休干部医药费补助、利息收入等。 </w:t>
      </w:r>
    </w:p>
    <w:p w14:paraId="3AB245E3">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5.使用非财政拨款结余：指事业单位使用以前年度积累的非财政拨款结余弥补当年收支差额的金额。 </w:t>
      </w:r>
    </w:p>
    <w:p w14:paraId="2227059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6D04ECAA">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2D4C4EC3">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4BCC905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9.教育（类）职业教育（款）中等职业教育（项）：指反映各部门举办的中等职业教育支出。政府各部门对社会组织等举办的中等职业学校的资助，如捐赠、补贴等，也在本科目中反映。</w:t>
      </w:r>
    </w:p>
    <w:p w14:paraId="6B1D2049">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10.社会保障和就业（类）行政事业单位养老支出（款）事业单位离退休（项）：指反映事业单位开支的离退休经费。</w:t>
      </w:r>
    </w:p>
    <w:p w14:paraId="56227BD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11.社会保障和就业（类）其他社会保障和就业支出（款）其他社会保障和就业支出（项）：指反映其他用于社会保障和就业方面的支出。</w:t>
      </w:r>
    </w:p>
    <w:p w14:paraId="2A9DBA93">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12.基本支出：指为保障机构正常运转、完成日常工作任务而发生的人员支出和公用支出。</w:t>
      </w:r>
    </w:p>
    <w:p w14:paraId="5AFA2EBE">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13.项目支出：指在基本支出之外为完成特定行政任务和事业发展目标所发生的支出。 </w:t>
      </w:r>
    </w:p>
    <w:p w14:paraId="5467180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14.经营支出：指事业单位在专业业务活动及其辅助活动之外开展非独立核算经营活动发生的支出。</w:t>
      </w:r>
    </w:p>
    <w:p w14:paraId="102E1106">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15.“三公”经费：指单</w:t>
      </w:r>
      <w:bookmarkStart w:id="168" w:name="_GoBack"/>
      <w:r>
        <w:rPr>
          <w:rFonts w:hint="eastAsia" w:ascii="仿宋_GB2312" w:eastAsia="仿宋_GB2312"/>
          <w:sz w:val="32"/>
          <w:szCs w:val="32"/>
          <w:lang w:eastAsia="zh-CN"/>
        </w:rPr>
        <w:t>位使</w:t>
      </w:r>
      <w:bookmarkEnd w:id="168"/>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95CDD7">
      <w:pPr>
        <w:ind w:firstLine="643" w:firstLineChars="200"/>
        <w:rPr>
          <w:rFonts w:ascii="仿宋" w:hAnsi="仿宋" w:eastAsia="仿宋"/>
          <w:b/>
          <w:color w:val="000000"/>
          <w:sz w:val="32"/>
          <w:szCs w:val="32"/>
        </w:rPr>
      </w:pPr>
    </w:p>
    <w:p w14:paraId="24DCBB33">
      <w:pPr>
        <w:spacing w:line="600" w:lineRule="exact"/>
        <w:jc w:val="center"/>
        <w:outlineLvl w:val="0"/>
        <w:rPr>
          <w:rFonts w:ascii="黑体" w:hAnsi="黑体" w:eastAsia="黑体"/>
          <w:sz w:val="44"/>
          <w:szCs w:val="44"/>
        </w:rPr>
      </w:pPr>
    </w:p>
    <w:p w14:paraId="552A56FF">
      <w:pPr>
        <w:spacing w:line="600" w:lineRule="exact"/>
        <w:jc w:val="center"/>
        <w:outlineLvl w:val="0"/>
        <w:rPr>
          <w:rFonts w:ascii="黑体" w:hAnsi="黑体" w:eastAsia="黑体"/>
          <w:sz w:val="44"/>
          <w:szCs w:val="44"/>
        </w:rPr>
      </w:pPr>
    </w:p>
    <w:p w14:paraId="25ED7DFD">
      <w:pPr>
        <w:spacing w:line="600" w:lineRule="exact"/>
        <w:jc w:val="center"/>
        <w:outlineLvl w:val="0"/>
        <w:rPr>
          <w:rFonts w:ascii="黑体" w:hAnsi="黑体" w:eastAsia="黑体"/>
          <w:sz w:val="44"/>
          <w:szCs w:val="44"/>
        </w:rPr>
      </w:pPr>
    </w:p>
    <w:p w14:paraId="0778D667">
      <w:pPr>
        <w:pStyle w:val="2"/>
        <w:spacing w:before="93"/>
        <w:sectPr>
          <w:pgSz w:w="11906" w:h="16838"/>
          <w:pgMar w:top="1440" w:right="1800" w:bottom="1440" w:left="1800" w:header="851" w:footer="992" w:gutter="0"/>
          <w:cols w:space="425" w:num="1"/>
          <w:docGrid w:type="lines" w:linePitch="312" w:charSpace="0"/>
        </w:sectPr>
      </w:pPr>
    </w:p>
    <w:p w14:paraId="5F279569">
      <w:pPr>
        <w:spacing w:line="600" w:lineRule="exact"/>
        <w:jc w:val="center"/>
        <w:outlineLvl w:val="0"/>
        <w:rPr>
          <w:rStyle w:val="24"/>
          <w:rFonts w:ascii="黑体" w:hAnsi="黑体" w:eastAsia="黑体"/>
          <w:b w:val="0"/>
        </w:rPr>
      </w:pPr>
      <w:bookmarkStart w:id="134" w:name="_Toc119073733"/>
      <w:r>
        <w:rPr>
          <w:rFonts w:hint="eastAsia" w:ascii="黑体" w:hAnsi="黑体" w:eastAsia="黑体"/>
          <w:sz w:val="44"/>
          <w:szCs w:val="44"/>
        </w:rPr>
        <w:t>第</w:t>
      </w:r>
      <w:r>
        <w:rPr>
          <w:rStyle w:val="24"/>
          <w:rFonts w:hint="eastAsia" w:ascii="黑体" w:hAnsi="黑体" w:eastAsia="黑体"/>
          <w:b w:val="0"/>
        </w:rPr>
        <w:t>四部分 附件</w:t>
      </w:r>
      <w:bookmarkEnd w:id="132"/>
      <w:bookmarkEnd w:id="134"/>
    </w:p>
    <w:p w14:paraId="0313E754">
      <w:pPr>
        <w:spacing w:line="572" w:lineRule="exact"/>
        <w:jc w:val="left"/>
        <w:outlineLvl w:val="0"/>
        <w:rPr>
          <w:rFonts w:ascii="仿宋_GB2312" w:hAnsi="仿宋_GB2312" w:eastAsia="仿宋_GB2312" w:cs="仿宋_GB2312"/>
          <w:sz w:val="32"/>
          <w:szCs w:val="32"/>
        </w:rPr>
      </w:pPr>
      <w:bookmarkStart w:id="135" w:name="_Toc119073734"/>
      <w:bookmarkStart w:id="136" w:name="_Toc113477804"/>
      <w:r>
        <w:rPr>
          <w:rFonts w:hint="eastAsia" w:ascii="黑体" w:hAnsi="黑体" w:eastAsia="黑体" w:cs="黑体"/>
          <w:sz w:val="32"/>
          <w:szCs w:val="32"/>
        </w:rPr>
        <w:t>附件1</w:t>
      </w:r>
      <w:bookmarkEnd w:id="135"/>
      <w:bookmarkEnd w:id="136"/>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817"/>
        <w:gridCol w:w="992"/>
        <w:gridCol w:w="142"/>
        <w:gridCol w:w="1134"/>
        <w:gridCol w:w="992"/>
        <w:gridCol w:w="1418"/>
        <w:gridCol w:w="1984"/>
        <w:gridCol w:w="142"/>
        <w:gridCol w:w="1954"/>
        <w:gridCol w:w="236"/>
      </w:tblGrid>
      <w:tr w14:paraId="1E86373A">
        <w:tblPrEx>
          <w:tblCellMar>
            <w:top w:w="0" w:type="dxa"/>
            <w:left w:w="108" w:type="dxa"/>
            <w:bottom w:w="0" w:type="dxa"/>
            <w:right w:w="108" w:type="dxa"/>
          </w:tblCellMar>
        </w:tblPrEx>
        <w:trPr>
          <w:trHeight w:val="675" w:hRule="atLeast"/>
        </w:trPr>
        <w:tc>
          <w:tcPr>
            <w:tcW w:w="9575" w:type="dxa"/>
            <w:gridSpan w:val="9"/>
            <w:tcBorders>
              <w:top w:val="nil"/>
              <w:left w:val="nil"/>
              <w:bottom w:val="nil"/>
              <w:right w:val="nil"/>
            </w:tcBorders>
            <w:shd w:val="clear" w:color="auto" w:fill="auto"/>
            <w:vAlign w:val="center"/>
          </w:tcPr>
          <w:p w14:paraId="19D5256E">
            <w:pPr>
              <w:widowControl/>
              <w:textAlignment w:val="center"/>
              <w:rPr>
                <w:rFonts w:ascii="宋体" w:hAnsi="宋体" w:cs="宋体"/>
                <w:b/>
                <w:sz w:val="32"/>
                <w:szCs w:val="32"/>
              </w:rPr>
            </w:pPr>
            <w:bookmarkStart w:id="137" w:name="_Toc15396618"/>
            <w:r>
              <w:rPr>
                <w:rFonts w:hint="eastAsia" w:ascii="宋体" w:hAnsi="宋体" w:cs="宋体"/>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14:paraId="510739AF">
            <w:pPr>
              <w:widowControl/>
              <w:jc w:val="center"/>
              <w:textAlignment w:val="center"/>
              <w:rPr>
                <w:rFonts w:ascii="宋体" w:hAnsi="宋体" w:cs="宋体"/>
                <w:b/>
                <w:kern w:val="0"/>
                <w:sz w:val="32"/>
                <w:szCs w:val="32"/>
                <w:lang w:bidi="ar"/>
              </w:rPr>
            </w:pPr>
          </w:p>
        </w:tc>
      </w:tr>
      <w:tr w14:paraId="36D2C6F9">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4CCA7">
            <w:pPr>
              <w:widowControl/>
              <w:spacing w:line="320" w:lineRule="exact"/>
              <w:jc w:val="center"/>
              <w:textAlignment w:val="center"/>
              <w:rPr>
                <w:rFonts w:ascii="宋体" w:hAnsi="宋体" w:cs="宋体"/>
                <w:kern w:val="0"/>
                <w:sz w:val="22"/>
                <w:lang w:bidi="ar"/>
              </w:rPr>
            </w:pPr>
            <w:r>
              <w:rPr>
                <w:rFonts w:hint="eastAsia" w:ascii="宋体" w:hAnsi="宋体" w:cs="宋体"/>
                <w:kern w:val="0"/>
                <w:sz w:val="22"/>
                <w:lang w:bidi="ar"/>
              </w:rPr>
              <w:t>项目名称</w:t>
            </w:r>
          </w:p>
        </w:tc>
        <w:tc>
          <w:tcPr>
            <w:tcW w:w="7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7F6BF">
            <w:pPr>
              <w:widowControl/>
              <w:spacing w:line="320" w:lineRule="exact"/>
              <w:jc w:val="center"/>
              <w:textAlignment w:val="center"/>
              <w:rPr>
                <w:rFonts w:ascii="宋体" w:hAnsi="宋体" w:cs="宋体"/>
                <w:sz w:val="22"/>
              </w:rPr>
            </w:pPr>
            <w:r>
              <w:rPr>
                <w:rFonts w:hint="eastAsia" w:ascii="宋体" w:hAnsi="宋体" w:cs="宋体"/>
                <w:sz w:val="22"/>
              </w:rPr>
              <w:t>第二批中等职业教育质量提升工程中央和省级奖补资金</w:t>
            </w:r>
          </w:p>
        </w:tc>
      </w:tr>
      <w:tr w14:paraId="59221994">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ADC7C">
            <w:pPr>
              <w:widowControl/>
              <w:spacing w:line="320" w:lineRule="exact"/>
              <w:jc w:val="center"/>
              <w:textAlignment w:val="center"/>
              <w:rPr>
                <w:rFonts w:ascii="宋体" w:hAnsi="宋体" w:cs="宋体"/>
                <w:sz w:val="22"/>
              </w:rPr>
            </w:pPr>
            <w:r>
              <w:rPr>
                <w:rFonts w:hint="eastAsia" w:ascii="宋体" w:hAnsi="宋体" w:cs="宋体"/>
                <w:kern w:val="0"/>
                <w:sz w:val="22"/>
                <w:lang w:bidi="ar"/>
              </w:rPr>
              <w:t>主管部门及代码</w:t>
            </w:r>
          </w:p>
        </w:tc>
        <w:tc>
          <w:tcPr>
            <w:tcW w:w="3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98744">
            <w:pPr>
              <w:widowControl/>
              <w:spacing w:line="320" w:lineRule="exact"/>
              <w:textAlignment w:val="center"/>
              <w:rPr>
                <w:rFonts w:ascii="宋体" w:hAnsi="宋体" w:cs="宋体"/>
                <w:sz w:val="22"/>
              </w:rPr>
            </w:pPr>
            <w:r>
              <w:rPr>
                <w:rFonts w:hint="eastAsia" w:ascii="宋体" w:hAnsi="宋体" w:cs="宋体"/>
                <w:sz w:val="22"/>
              </w:rPr>
              <w:t>四川省地质矿产勘查开发局</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B528">
            <w:pPr>
              <w:widowControl/>
              <w:spacing w:line="320" w:lineRule="exact"/>
              <w:jc w:val="center"/>
              <w:textAlignment w:val="center"/>
              <w:rPr>
                <w:rFonts w:ascii="宋体" w:hAnsi="宋体" w:cs="宋体"/>
                <w:sz w:val="22"/>
              </w:rPr>
            </w:pPr>
            <w:r>
              <w:rPr>
                <w:rFonts w:hint="eastAsia" w:ascii="宋体" w:hAnsi="宋体" w:cs="宋体"/>
                <w:kern w:val="0"/>
                <w:sz w:val="22"/>
                <w:lang w:bidi="ar"/>
              </w:rPr>
              <w:t>实施单位</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62A59">
            <w:pPr>
              <w:widowControl/>
              <w:spacing w:line="320" w:lineRule="exact"/>
              <w:jc w:val="center"/>
              <w:textAlignment w:val="center"/>
              <w:rPr>
                <w:rFonts w:ascii="宋体" w:hAnsi="宋体" w:cs="宋体"/>
                <w:sz w:val="22"/>
              </w:rPr>
            </w:pPr>
            <w:r>
              <w:rPr>
                <w:rFonts w:hint="eastAsia" w:ascii="宋体" w:hAnsi="宋体" w:cs="宋体"/>
                <w:sz w:val="22"/>
              </w:rPr>
              <w:t>四川矿产机电技师学院</w:t>
            </w:r>
          </w:p>
        </w:tc>
      </w:tr>
      <w:tr w14:paraId="2A2600F3">
        <w:tblPrEx>
          <w:tblCellMar>
            <w:top w:w="0" w:type="dxa"/>
            <w:left w:w="108" w:type="dxa"/>
            <w:bottom w:w="0" w:type="dxa"/>
            <w:right w:w="108" w:type="dxa"/>
          </w:tblCellMar>
        </w:tblPrEx>
        <w:trPr>
          <w:gridAfter w:val="1"/>
          <w:wAfter w:w="236" w:type="dxa"/>
          <w:trHeight w:val="341" w:hRule="atLeast"/>
        </w:trPr>
        <w:tc>
          <w:tcPr>
            <w:tcW w:w="1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907BD">
            <w:pPr>
              <w:widowControl/>
              <w:spacing w:line="320" w:lineRule="exact"/>
              <w:jc w:val="center"/>
              <w:textAlignment w:val="center"/>
              <w:rPr>
                <w:rFonts w:ascii="宋体" w:hAnsi="宋体" w:cs="宋体"/>
                <w:sz w:val="22"/>
              </w:rPr>
            </w:pPr>
            <w:r>
              <w:rPr>
                <w:rFonts w:hint="eastAsia" w:ascii="宋体" w:hAnsi="宋体" w:cs="宋体"/>
                <w:kern w:val="0"/>
                <w:sz w:val="22"/>
                <w:lang w:bidi="ar"/>
              </w:rPr>
              <w:t>项目预算</w:t>
            </w:r>
            <w:r>
              <w:rPr>
                <w:rFonts w:hint="eastAsia" w:ascii="宋体" w:hAnsi="宋体" w:cs="宋体"/>
                <w:kern w:val="0"/>
                <w:sz w:val="22"/>
                <w:lang w:bidi="ar"/>
              </w:rPr>
              <w:br w:type="textWrapping"/>
            </w:r>
            <w:r>
              <w:rPr>
                <w:rFonts w:hint="eastAsia" w:ascii="宋体" w:hAnsi="宋体" w:cs="宋体"/>
                <w:kern w:val="0"/>
                <w:sz w:val="22"/>
                <w:lang w:bidi="ar"/>
              </w:rPr>
              <w:t>执行情况</w:t>
            </w:r>
            <w:r>
              <w:rPr>
                <w:rFonts w:hint="eastAsia" w:ascii="宋体" w:hAnsi="宋体" w:cs="宋体"/>
                <w:kern w:val="0"/>
                <w:sz w:val="22"/>
                <w:lang w:bidi="ar"/>
              </w:rPr>
              <w:br w:type="textWrapping"/>
            </w:r>
            <w:r>
              <w:rPr>
                <w:rFonts w:hint="eastAsia" w:ascii="宋体" w:hAnsi="宋体" w:cs="宋体"/>
                <w:kern w:val="0"/>
                <w:sz w:val="22"/>
                <w:lang w:bidi="ar"/>
              </w:rPr>
              <w:t>（万元）</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19AB3">
            <w:pPr>
              <w:widowControl/>
              <w:spacing w:line="320" w:lineRule="exact"/>
              <w:jc w:val="left"/>
              <w:textAlignment w:val="center"/>
              <w:rPr>
                <w:rFonts w:ascii="宋体" w:hAnsi="宋体" w:cs="宋体"/>
                <w:sz w:val="22"/>
              </w:rPr>
            </w:pPr>
            <w:r>
              <w:rPr>
                <w:rFonts w:hint="eastAsia" w:ascii="宋体" w:hAnsi="宋体" w:cs="宋体"/>
                <w:kern w:val="0"/>
                <w:sz w:val="22"/>
                <w:lang w:bidi="ar"/>
              </w:rPr>
              <w:t xml:space="preserve"> 预算数：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E991">
            <w:pPr>
              <w:widowControl/>
              <w:spacing w:line="320" w:lineRule="exact"/>
              <w:jc w:val="left"/>
              <w:textAlignment w:val="center"/>
              <w:rPr>
                <w:rFonts w:ascii="宋体" w:hAnsi="宋体" w:cs="宋体"/>
                <w:sz w:val="22"/>
              </w:rPr>
            </w:pPr>
            <w:r>
              <w:rPr>
                <w:rFonts w:hint="eastAsia" w:ascii="宋体" w:hAnsi="宋体" w:cs="宋体"/>
                <w:sz w:val="22"/>
              </w:rPr>
              <w:t>343.00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032D">
            <w:pPr>
              <w:widowControl/>
              <w:spacing w:line="320" w:lineRule="exact"/>
              <w:jc w:val="left"/>
              <w:textAlignment w:val="center"/>
              <w:rPr>
                <w:rFonts w:ascii="宋体" w:hAnsi="宋体" w:cs="宋体"/>
                <w:sz w:val="22"/>
              </w:rPr>
            </w:pPr>
            <w:r>
              <w:rPr>
                <w:rFonts w:hint="eastAsia" w:ascii="宋体" w:hAnsi="宋体" w:cs="宋体"/>
                <w:kern w:val="0"/>
                <w:sz w:val="22"/>
                <w:lang w:bidi="ar"/>
              </w:rPr>
              <w:t xml:space="preserve"> 执行数：</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ABD41">
            <w:pPr>
              <w:widowControl/>
              <w:spacing w:line="320" w:lineRule="exact"/>
              <w:jc w:val="right"/>
              <w:textAlignment w:val="center"/>
              <w:rPr>
                <w:rFonts w:ascii="宋体" w:hAnsi="宋体" w:cs="宋体"/>
                <w:sz w:val="22"/>
              </w:rPr>
            </w:pPr>
            <w:r>
              <w:rPr>
                <w:rFonts w:hint="eastAsia" w:ascii="宋体" w:hAnsi="宋体" w:cs="宋体"/>
                <w:sz w:val="22"/>
              </w:rPr>
              <w:t>317.82</w:t>
            </w:r>
          </w:p>
        </w:tc>
      </w:tr>
      <w:tr w14:paraId="713DD220">
        <w:tblPrEx>
          <w:tblCellMar>
            <w:top w:w="0" w:type="dxa"/>
            <w:left w:w="108" w:type="dxa"/>
            <w:bottom w:w="0" w:type="dxa"/>
            <w:right w:w="108" w:type="dxa"/>
          </w:tblCellMar>
        </w:tblPrEx>
        <w:trPr>
          <w:gridAfter w:val="1"/>
          <w:wAfter w:w="236" w:type="dxa"/>
          <w:trHeight w:val="555"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B347">
            <w:pPr>
              <w:spacing w:line="320" w:lineRule="exact"/>
              <w:jc w:val="center"/>
              <w:rPr>
                <w:rFonts w:ascii="宋体" w:hAnsi="宋体" w:cs="宋体"/>
                <w:sz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388BB">
            <w:pPr>
              <w:widowControl/>
              <w:spacing w:line="320" w:lineRule="exact"/>
              <w:jc w:val="left"/>
              <w:textAlignment w:val="center"/>
              <w:rPr>
                <w:rFonts w:ascii="宋体" w:hAnsi="宋体" w:cs="宋体"/>
                <w:kern w:val="0"/>
                <w:sz w:val="22"/>
                <w:lang w:bidi="ar"/>
              </w:rPr>
            </w:pPr>
            <w:r>
              <w:rPr>
                <w:rFonts w:hint="eastAsia" w:ascii="宋体" w:hAnsi="宋体" w:cs="宋体"/>
                <w:kern w:val="0"/>
                <w:sz w:val="22"/>
                <w:lang w:bidi="ar"/>
              </w:rPr>
              <w:t>其中：</w:t>
            </w:r>
          </w:p>
          <w:p w14:paraId="10F292FB">
            <w:pPr>
              <w:widowControl/>
              <w:spacing w:line="320" w:lineRule="exact"/>
              <w:jc w:val="left"/>
              <w:textAlignment w:val="center"/>
              <w:rPr>
                <w:rFonts w:ascii="宋体" w:hAnsi="宋体" w:cs="宋体"/>
                <w:sz w:val="22"/>
              </w:rPr>
            </w:pPr>
            <w:r>
              <w:rPr>
                <w:rFonts w:hint="eastAsia" w:ascii="宋体" w:hAnsi="宋体" w:cs="宋体"/>
                <w:kern w:val="0"/>
                <w:sz w:val="22"/>
                <w:lang w:bidi="ar"/>
              </w:rPr>
              <w:t>财政拨款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42E0">
            <w:pPr>
              <w:widowControl/>
              <w:spacing w:line="320" w:lineRule="exact"/>
              <w:jc w:val="left"/>
              <w:textAlignment w:val="center"/>
              <w:rPr>
                <w:rFonts w:ascii="宋体" w:hAnsi="宋体" w:cs="宋体"/>
                <w:sz w:val="22"/>
              </w:rPr>
            </w:pPr>
            <w:r>
              <w:rPr>
                <w:rFonts w:hint="eastAsia" w:ascii="宋体" w:hAnsi="宋体" w:cs="宋体"/>
                <w:sz w:val="22"/>
              </w:rPr>
              <w:t>343.00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CCDA">
            <w:pPr>
              <w:widowControl/>
              <w:spacing w:line="320" w:lineRule="exact"/>
              <w:jc w:val="left"/>
              <w:textAlignment w:val="center"/>
              <w:rPr>
                <w:rFonts w:ascii="宋体" w:hAnsi="宋体" w:cs="宋体"/>
                <w:kern w:val="0"/>
                <w:sz w:val="22"/>
                <w:lang w:bidi="ar"/>
              </w:rPr>
            </w:pPr>
            <w:r>
              <w:rPr>
                <w:rFonts w:hint="eastAsia" w:ascii="宋体" w:hAnsi="宋体" w:cs="宋体"/>
                <w:kern w:val="0"/>
                <w:sz w:val="22"/>
                <w:lang w:bidi="ar"/>
              </w:rPr>
              <w:t>其中：</w:t>
            </w:r>
          </w:p>
          <w:p w14:paraId="7A3AD0CB">
            <w:pPr>
              <w:widowControl/>
              <w:spacing w:line="320" w:lineRule="exact"/>
              <w:jc w:val="left"/>
              <w:textAlignment w:val="center"/>
              <w:rPr>
                <w:rFonts w:ascii="宋体" w:hAnsi="宋体" w:cs="宋体"/>
                <w:sz w:val="22"/>
              </w:rPr>
            </w:pPr>
            <w:r>
              <w:rPr>
                <w:rFonts w:hint="eastAsia" w:ascii="宋体" w:hAnsi="宋体" w:cs="宋体"/>
                <w:kern w:val="0"/>
                <w:sz w:val="22"/>
                <w:lang w:bidi="ar"/>
              </w:rPr>
              <w:t>财政拨款</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343DB">
            <w:pPr>
              <w:widowControl/>
              <w:spacing w:line="320" w:lineRule="exact"/>
              <w:jc w:val="right"/>
              <w:textAlignment w:val="center"/>
              <w:rPr>
                <w:rFonts w:ascii="宋体" w:hAnsi="宋体" w:cs="宋体"/>
                <w:sz w:val="22"/>
              </w:rPr>
            </w:pPr>
            <w:r>
              <w:rPr>
                <w:rFonts w:hint="eastAsia" w:ascii="宋体" w:hAnsi="宋体" w:cs="宋体"/>
                <w:sz w:val="22"/>
              </w:rPr>
              <w:t>317.82</w:t>
            </w:r>
          </w:p>
        </w:tc>
      </w:tr>
      <w:tr w14:paraId="196080B4">
        <w:tblPrEx>
          <w:tblCellMar>
            <w:top w:w="0" w:type="dxa"/>
            <w:left w:w="108" w:type="dxa"/>
            <w:bottom w:w="0" w:type="dxa"/>
            <w:right w:w="108" w:type="dxa"/>
          </w:tblCellMar>
        </w:tblPrEx>
        <w:trPr>
          <w:gridAfter w:val="1"/>
          <w:wAfter w:w="236" w:type="dxa"/>
          <w:trHeight w:val="341"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2D1A">
            <w:pPr>
              <w:spacing w:line="320" w:lineRule="exact"/>
              <w:jc w:val="center"/>
              <w:rPr>
                <w:rFonts w:ascii="宋体" w:hAnsi="宋体" w:cs="宋体"/>
                <w:sz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BF68C">
            <w:pPr>
              <w:widowControl/>
              <w:spacing w:line="320" w:lineRule="exact"/>
              <w:jc w:val="left"/>
              <w:textAlignment w:val="center"/>
              <w:rPr>
                <w:rFonts w:ascii="宋体" w:hAnsi="宋体" w:cs="宋体"/>
                <w:sz w:val="22"/>
              </w:rPr>
            </w:pPr>
            <w:r>
              <w:rPr>
                <w:rFonts w:hint="eastAsia" w:ascii="宋体" w:hAnsi="宋体" w:cs="宋体"/>
                <w:kern w:val="0"/>
                <w:sz w:val="22"/>
                <w:lang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8D85">
            <w:pPr>
              <w:widowControl/>
              <w:spacing w:line="320" w:lineRule="exact"/>
              <w:jc w:val="left"/>
              <w:textAlignment w:val="center"/>
              <w:rPr>
                <w:rFonts w:ascii="宋体" w:hAnsi="宋体" w:cs="宋体"/>
                <w:sz w:val="22"/>
              </w:rPr>
            </w:pPr>
            <w:r>
              <w:rPr>
                <w:rFonts w:hint="eastAsia" w:ascii="宋体" w:hAnsi="宋体" w:cs="宋体"/>
                <w:sz w:val="22"/>
              </w:rPr>
              <w:t>0.00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5102">
            <w:pPr>
              <w:widowControl/>
              <w:spacing w:line="320" w:lineRule="exact"/>
              <w:jc w:val="left"/>
              <w:textAlignment w:val="center"/>
              <w:rPr>
                <w:rFonts w:ascii="宋体" w:hAnsi="宋体" w:cs="宋体"/>
                <w:sz w:val="22"/>
              </w:rPr>
            </w:pPr>
            <w:r>
              <w:rPr>
                <w:rFonts w:hint="eastAsia" w:ascii="宋体" w:hAnsi="宋体" w:cs="宋体"/>
                <w:kern w:val="0"/>
                <w:sz w:val="22"/>
                <w:lang w:bidi="ar"/>
              </w:rPr>
              <w:t>其他资金</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33F33">
            <w:pPr>
              <w:widowControl/>
              <w:spacing w:line="320" w:lineRule="exact"/>
              <w:jc w:val="right"/>
              <w:textAlignment w:val="center"/>
              <w:rPr>
                <w:rFonts w:ascii="宋体" w:hAnsi="宋体" w:cs="宋体"/>
                <w:sz w:val="22"/>
              </w:rPr>
            </w:pPr>
            <w:r>
              <w:rPr>
                <w:rFonts w:hint="eastAsia" w:ascii="宋体" w:hAnsi="宋体" w:cs="宋体"/>
                <w:sz w:val="22"/>
              </w:rPr>
              <w:t>0.00</w:t>
            </w:r>
          </w:p>
        </w:tc>
      </w:tr>
      <w:tr w14:paraId="78E9EBAA">
        <w:tblPrEx>
          <w:tblCellMar>
            <w:top w:w="0" w:type="dxa"/>
            <w:left w:w="108" w:type="dxa"/>
            <w:bottom w:w="0" w:type="dxa"/>
            <w:right w:w="108" w:type="dxa"/>
          </w:tblCellMar>
        </w:tblPrEx>
        <w:trPr>
          <w:gridAfter w:val="1"/>
          <w:wAfter w:w="236" w:type="dxa"/>
          <w:trHeight w:val="217"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DDD6D">
            <w:pPr>
              <w:widowControl/>
              <w:spacing w:line="320" w:lineRule="exact"/>
              <w:jc w:val="center"/>
              <w:textAlignment w:val="center"/>
              <w:rPr>
                <w:rFonts w:ascii="宋体" w:hAnsi="宋体" w:cs="宋体"/>
                <w:kern w:val="0"/>
                <w:sz w:val="22"/>
                <w:lang w:bidi="ar"/>
              </w:rPr>
            </w:pPr>
            <w:r>
              <w:rPr>
                <w:rFonts w:hint="eastAsia" w:ascii="宋体" w:hAnsi="宋体" w:cs="宋体"/>
                <w:kern w:val="0"/>
                <w:sz w:val="22"/>
                <w:lang w:bidi="ar"/>
              </w:rPr>
              <w:t>年度总体目标</w:t>
            </w:r>
          </w:p>
          <w:p w14:paraId="0B797DA6">
            <w:pPr>
              <w:widowControl/>
              <w:spacing w:line="320" w:lineRule="exact"/>
              <w:jc w:val="center"/>
              <w:textAlignment w:val="center"/>
              <w:rPr>
                <w:rFonts w:ascii="宋体" w:hAnsi="宋体" w:cs="宋体"/>
                <w:sz w:val="22"/>
              </w:rPr>
            </w:pPr>
            <w:r>
              <w:rPr>
                <w:rFonts w:hint="eastAsia" w:ascii="宋体" w:hAnsi="宋体" w:cs="宋体"/>
                <w:kern w:val="0"/>
                <w:sz w:val="22"/>
                <w:lang w:bidi="ar"/>
              </w:rPr>
              <w:t>完成情况</w:t>
            </w:r>
          </w:p>
        </w:tc>
        <w:tc>
          <w:tcPr>
            <w:tcW w:w="4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D89F6">
            <w:pPr>
              <w:widowControl/>
              <w:spacing w:line="320" w:lineRule="exact"/>
              <w:jc w:val="center"/>
              <w:textAlignment w:val="center"/>
              <w:rPr>
                <w:rFonts w:ascii="宋体" w:hAnsi="宋体" w:cs="宋体"/>
                <w:sz w:val="22"/>
              </w:rPr>
            </w:pPr>
            <w:r>
              <w:rPr>
                <w:rFonts w:hint="eastAsia" w:ascii="宋体" w:hAnsi="宋体" w:cs="宋体"/>
                <w:kern w:val="0"/>
                <w:sz w:val="22"/>
                <w:lang w:bidi="ar"/>
              </w:rPr>
              <w:t>预期目标</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22769">
            <w:pPr>
              <w:widowControl/>
              <w:spacing w:line="320" w:lineRule="exact"/>
              <w:jc w:val="center"/>
              <w:textAlignment w:val="center"/>
              <w:rPr>
                <w:rFonts w:ascii="宋体" w:hAnsi="宋体" w:cs="宋体"/>
                <w:sz w:val="22"/>
              </w:rPr>
            </w:pPr>
            <w:r>
              <w:rPr>
                <w:rFonts w:hint="eastAsia" w:ascii="宋体" w:hAnsi="宋体" w:cs="宋体"/>
                <w:kern w:val="0"/>
                <w:sz w:val="22"/>
                <w:lang w:bidi="ar"/>
              </w:rPr>
              <w:t>目标实际完成情况</w:t>
            </w:r>
          </w:p>
        </w:tc>
      </w:tr>
      <w:tr w14:paraId="266D60A0">
        <w:tblPrEx>
          <w:tblCellMar>
            <w:top w:w="0" w:type="dxa"/>
            <w:left w:w="108" w:type="dxa"/>
            <w:bottom w:w="0" w:type="dxa"/>
            <w:right w:w="108" w:type="dxa"/>
          </w:tblCellMar>
        </w:tblPrEx>
        <w:trPr>
          <w:gridAfter w:val="1"/>
          <w:wAfter w:w="236" w:type="dxa"/>
          <w:trHeight w:val="797"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CDAF">
            <w:pPr>
              <w:spacing w:line="320" w:lineRule="exact"/>
              <w:jc w:val="center"/>
              <w:rPr>
                <w:rFonts w:ascii="宋体" w:hAnsi="宋体" w:cs="宋体"/>
                <w:sz w:val="22"/>
              </w:rPr>
            </w:pPr>
          </w:p>
        </w:tc>
        <w:tc>
          <w:tcPr>
            <w:tcW w:w="4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1548F">
            <w:pPr>
              <w:widowControl/>
              <w:spacing w:line="320" w:lineRule="exact"/>
              <w:jc w:val="center"/>
              <w:textAlignment w:val="top"/>
              <w:rPr>
                <w:rFonts w:ascii="宋体" w:hAnsi="宋体" w:cs="宋体"/>
                <w:sz w:val="22"/>
              </w:rPr>
            </w:pPr>
            <w:r>
              <w:rPr>
                <w:sz w:val="22"/>
              </w:rPr>
              <w:t>改善实训实验基地条件，完成运动场周边改造以及建工实训场地建设。</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8ED79">
            <w:pPr>
              <w:widowControl/>
              <w:spacing w:line="320" w:lineRule="exact"/>
              <w:jc w:val="center"/>
              <w:textAlignment w:val="top"/>
              <w:rPr>
                <w:rFonts w:ascii="宋体" w:hAnsi="宋体" w:cs="宋体"/>
                <w:sz w:val="22"/>
              </w:rPr>
            </w:pPr>
            <w:r>
              <w:rPr>
                <w:sz w:val="22"/>
              </w:rPr>
              <w:t>完成实训实验基地条件改善，完成运动场 周边改造以及建工实训场地建设。</w:t>
            </w:r>
          </w:p>
        </w:tc>
      </w:tr>
      <w:tr w14:paraId="7F0ADD93">
        <w:tblPrEx>
          <w:tblCellMar>
            <w:top w:w="0" w:type="dxa"/>
            <w:left w:w="108" w:type="dxa"/>
            <w:bottom w:w="0" w:type="dxa"/>
            <w:right w:w="108" w:type="dxa"/>
          </w:tblCellMar>
        </w:tblPrEx>
        <w:trPr>
          <w:gridAfter w:val="1"/>
          <w:wAfter w:w="236" w:type="dxa"/>
          <w:trHeight w:val="693" w:hRule="atLeast"/>
        </w:trPr>
        <w:tc>
          <w:tcPr>
            <w:tcW w:w="817" w:type="dxa"/>
            <w:vMerge w:val="restart"/>
            <w:tcBorders>
              <w:top w:val="single" w:color="000000" w:sz="4" w:space="0"/>
              <w:left w:val="single" w:color="000000" w:sz="4" w:space="0"/>
              <w:right w:val="single" w:color="000000" w:sz="4" w:space="0"/>
            </w:tcBorders>
            <w:shd w:val="clear" w:color="auto" w:fill="auto"/>
            <w:vAlign w:val="center"/>
          </w:tcPr>
          <w:p w14:paraId="26D9D595">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年度绩效指标完成情况</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5435402B">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一级指标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5F5AA">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二级指标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C80E6">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三级指标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913AC">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预期指标值</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6960">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实际完成指标值</w:t>
            </w:r>
          </w:p>
        </w:tc>
      </w:tr>
      <w:tr w14:paraId="13B5BC9B">
        <w:tblPrEx>
          <w:tblCellMar>
            <w:top w:w="0" w:type="dxa"/>
            <w:left w:w="108" w:type="dxa"/>
            <w:bottom w:w="0" w:type="dxa"/>
            <w:right w:w="108" w:type="dxa"/>
          </w:tblCellMar>
        </w:tblPrEx>
        <w:trPr>
          <w:gridAfter w:val="1"/>
          <w:wAfter w:w="236" w:type="dxa"/>
          <w:trHeight w:val="415" w:hRule="atLeast"/>
        </w:trPr>
        <w:tc>
          <w:tcPr>
            <w:tcW w:w="817" w:type="dxa"/>
            <w:vMerge w:val="continue"/>
            <w:tcBorders>
              <w:left w:val="single" w:color="000000" w:sz="4" w:space="0"/>
              <w:right w:val="single" w:color="000000" w:sz="4" w:space="0"/>
            </w:tcBorders>
            <w:shd w:val="clear" w:color="auto" w:fill="auto"/>
            <w:vAlign w:val="center"/>
          </w:tcPr>
          <w:p w14:paraId="26DEFA7A">
            <w:pPr>
              <w:spacing w:line="320" w:lineRule="exact"/>
              <w:jc w:val="center"/>
              <w:rPr>
                <w:rFonts w:ascii="仿宋_GB2312" w:hAnsi="仿宋_GB2312" w:eastAsia="仿宋_GB2312" w:cs="仿宋_GB2312"/>
                <w:sz w:val="28"/>
                <w:szCs w:val="28"/>
              </w:rPr>
            </w:pPr>
          </w:p>
        </w:tc>
        <w:tc>
          <w:tcPr>
            <w:tcW w:w="992" w:type="dxa"/>
            <w:vMerge w:val="restart"/>
            <w:tcBorders>
              <w:top w:val="single" w:color="000000" w:sz="4" w:space="0"/>
              <w:left w:val="single" w:color="000000" w:sz="4" w:space="0"/>
              <w:right w:val="single" w:color="000000" w:sz="4" w:space="0"/>
            </w:tcBorders>
            <w:shd w:val="clear" w:color="auto" w:fill="auto"/>
            <w:vAlign w:val="center"/>
          </w:tcPr>
          <w:p w14:paraId="578A0731">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完成指标</w:t>
            </w:r>
          </w:p>
        </w:tc>
        <w:tc>
          <w:tcPr>
            <w:tcW w:w="1276" w:type="dxa"/>
            <w:gridSpan w:val="2"/>
            <w:vMerge w:val="restart"/>
            <w:tcBorders>
              <w:top w:val="single" w:color="000000" w:sz="4" w:space="0"/>
              <w:left w:val="single" w:color="000000" w:sz="4" w:space="0"/>
              <w:right w:val="single" w:color="000000" w:sz="4" w:space="0"/>
            </w:tcBorders>
            <w:shd w:val="clear" w:color="auto" w:fill="auto"/>
            <w:vAlign w:val="center"/>
          </w:tcPr>
          <w:p w14:paraId="1E44099D">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数量指标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DA589">
            <w:pPr>
              <w:widowControl/>
              <w:spacing w:line="320" w:lineRule="exact"/>
              <w:jc w:val="center"/>
              <w:textAlignment w:val="bottom"/>
              <w:rPr>
                <w:rFonts w:ascii="仿宋_GB2312" w:hAnsi="仿宋_GB2312" w:eastAsia="仿宋_GB2312" w:cs="仿宋_GB2312"/>
                <w:kern w:val="0"/>
                <w:sz w:val="22"/>
                <w:szCs w:val="28"/>
                <w:lang w:bidi="ar"/>
              </w:rPr>
            </w:pPr>
            <w:r>
              <w:rPr>
                <w:rFonts w:hint="eastAsia" w:ascii="仿宋_GB2312" w:hAnsi="仿宋_GB2312" w:eastAsia="仿宋_GB2312" w:cs="仿宋_GB2312"/>
                <w:kern w:val="0"/>
                <w:sz w:val="22"/>
                <w:szCs w:val="28"/>
                <w:lang w:bidi="ar"/>
              </w:rPr>
              <w:t>运动场周边改造</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D8D71">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大于 10000 平方米</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FCAD">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10077.5 平方米</w:t>
            </w:r>
          </w:p>
        </w:tc>
      </w:tr>
      <w:tr w14:paraId="0846B10C">
        <w:tblPrEx>
          <w:tblCellMar>
            <w:top w:w="0" w:type="dxa"/>
            <w:left w:w="108" w:type="dxa"/>
            <w:bottom w:w="0" w:type="dxa"/>
            <w:right w:w="108" w:type="dxa"/>
          </w:tblCellMar>
        </w:tblPrEx>
        <w:trPr>
          <w:gridAfter w:val="1"/>
          <w:wAfter w:w="236" w:type="dxa"/>
          <w:trHeight w:val="415" w:hRule="atLeast"/>
        </w:trPr>
        <w:tc>
          <w:tcPr>
            <w:tcW w:w="817" w:type="dxa"/>
            <w:vMerge w:val="continue"/>
            <w:tcBorders>
              <w:left w:val="single" w:color="000000" w:sz="4" w:space="0"/>
              <w:right w:val="single" w:color="000000" w:sz="4" w:space="0"/>
            </w:tcBorders>
            <w:shd w:val="clear" w:color="auto" w:fill="auto"/>
            <w:vAlign w:val="center"/>
          </w:tcPr>
          <w:p w14:paraId="16C320C0">
            <w:pPr>
              <w:spacing w:line="320" w:lineRule="exact"/>
              <w:jc w:val="center"/>
              <w:rPr>
                <w:rFonts w:ascii="仿宋_GB2312" w:hAnsi="仿宋_GB2312" w:eastAsia="仿宋_GB2312" w:cs="仿宋_GB2312"/>
                <w:sz w:val="28"/>
                <w:szCs w:val="28"/>
              </w:rPr>
            </w:pPr>
          </w:p>
        </w:tc>
        <w:tc>
          <w:tcPr>
            <w:tcW w:w="992" w:type="dxa"/>
            <w:vMerge w:val="continue"/>
            <w:tcBorders>
              <w:left w:val="single" w:color="000000" w:sz="4" w:space="0"/>
              <w:right w:val="single" w:color="000000" w:sz="4" w:space="0"/>
            </w:tcBorders>
            <w:shd w:val="clear" w:color="auto" w:fill="auto"/>
            <w:vAlign w:val="bottom"/>
          </w:tcPr>
          <w:p w14:paraId="79A7D1D6">
            <w:pPr>
              <w:spacing w:line="320" w:lineRule="exact"/>
              <w:jc w:val="center"/>
              <w:rPr>
                <w:rFonts w:ascii="仿宋_GB2312" w:hAnsi="仿宋_GB2312" w:eastAsia="仿宋_GB2312" w:cs="仿宋_GB2312"/>
                <w:kern w:val="0"/>
                <w:sz w:val="24"/>
                <w:szCs w:val="28"/>
                <w:lang w:bidi="ar"/>
              </w:rPr>
            </w:pPr>
          </w:p>
        </w:tc>
        <w:tc>
          <w:tcPr>
            <w:tcW w:w="1276" w:type="dxa"/>
            <w:gridSpan w:val="2"/>
            <w:vMerge w:val="continue"/>
            <w:tcBorders>
              <w:left w:val="single" w:color="000000" w:sz="4" w:space="0"/>
              <w:right w:val="single" w:color="000000" w:sz="4" w:space="0"/>
            </w:tcBorders>
            <w:shd w:val="clear" w:color="auto" w:fill="auto"/>
            <w:vAlign w:val="center"/>
          </w:tcPr>
          <w:p w14:paraId="5C9ABB88">
            <w:pPr>
              <w:widowControl/>
              <w:spacing w:line="320" w:lineRule="exact"/>
              <w:jc w:val="center"/>
              <w:textAlignment w:val="bottom"/>
              <w:rPr>
                <w:rFonts w:ascii="仿宋_GB2312" w:hAnsi="仿宋_GB2312" w:eastAsia="仿宋_GB2312" w:cs="仿宋_GB2312"/>
                <w:sz w:val="24"/>
                <w:szCs w:val="28"/>
              </w:rPr>
            </w:pP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44FD5">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建工实训场地建设</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8FA74">
            <w:pPr>
              <w:widowControl/>
              <w:spacing w:line="320" w:lineRule="exact"/>
              <w:jc w:val="center"/>
              <w:textAlignment w:val="bottom"/>
              <w:rPr>
                <w:rFonts w:ascii="仿宋_GB2312" w:hAnsi="仿宋_GB2312" w:eastAsia="仿宋_GB2312" w:cs="仿宋_GB2312"/>
                <w:kern w:val="0"/>
                <w:sz w:val="22"/>
                <w:szCs w:val="28"/>
                <w:lang w:bidi="ar"/>
              </w:rPr>
            </w:pPr>
            <w:r>
              <w:rPr>
                <w:rFonts w:hint="eastAsia" w:ascii="仿宋_GB2312" w:hAnsi="仿宋_GB2312" w:eastAsia="仿宋_GB2312" w:cs="仿宋_GB2312"/>
                <w:kern w:val="0"/>
                <w:sz w:val="22"/>
                <w:szCs w:val="28"/>
                <w:lang w:bidi="ar"/>
              </w:rPr>
              <w:t>1个</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CBB2">
            <w:pPr>
              <w:widowControl/>
              <w:spacing w:line="320" w:lineRule="exact"/>
              <w:jc w:val="center"/>
              <w:textAlignment w:val="bottom"/>
              <w:rPr>
                <w:rFonts w:ascii="仿宋_GB2312" w:hAnsi="仿宋_GB2312" w:eastAsia="仿宋_GB2312" w:cs="仿宋_GB2312"/>
                <w:kern w:val="0"/>
                <w:sz w:val="22"/>
                <w:szCs w:val="28"/>
                <w:lang w:bidi="ar"/>
              </w:rPr>
            </w:pPr>
            <w:r>
              <w:rPr>
                <w:rFonts w:hint="eastAsia" w:ascii="仿宋_GB2312" w:hAnsi="仿宋_GB2312" w:eastAsia="仿宋_GB2312" w:cs="仿宋_GB2312"/>
                <w:kern w:val="0"/>
                <w:sz w:val="22"/>
                <w:szCs w:val="28"/>
                <w:lang w:bidi="ar"/>
              </w:rPr>
              <w:t>1个</w:t>
            </w:r>
          </w:p>
        </w:tc>
      </w:tr>
      <w:tr w14:paraId="661D65B3">
        <w:tblPrEx>
          <w:tblCellMar>
            <w:top w:w="0" w:type="dxa"/>
            <w:left w:w="108" w:type="dxa"/>
            <w:bottom w:w="0" w:type="dxa"/>
            <w:right w:w="108" w:type="dxa"/>
          </w:tblCellMar>
        </w:tblPrEx>
        <w:trPr>
          <w:gridAfter w:val="1"/>
          <w:wAfter w:w="236" w:type="dxa"/>
          <w:trHeight w:val="415" w:hRule="atLeast"/>
        </w:trPr>
        <w:tc>
          <w:tcPr>
            <w:tcW w:w="817" w:type="dxa"/>
            <w:vMerge w:val="continue"/>
            <w:tcBorders>
              <w:left w:val="single" w:color="000000" w:sz="4" w:space="0"/>
              <w:right w:val="single" w:color="000000" w:sz="4" w:space="0"/>
            </w:tcBorders>
            <w:shd w:val="clear" w:color="auto" w:fill="auto"/>
            <w:vAlign w:val="center"/>
          </w:tcPr>
          <w:p w14:paraId="5E5115AA">
            <w:pPr>
              <w:spacing w:line="320" w:lineRule="exact"/>
              <w:jc w:val="center"/>
              <w:rPr>
                <w:rFonts w:ascii="仿宋_GB2312" w:hAnsi="仿宋_GB2312" w:eastAsia="仿宋_GB2312" w:cs="仿宋_GB2312"/>
                <w:sz w:val="28"/>
                <w:szCs w:val="28"/>
              </w:rPr>
            </w:pPr>
          </w:p>
        </w:tc>
        <w:tc>
          <w:tcPr>
            <w:tcW w:w="992" w:type="dxa"/>
            <w:vMerge w:val="continue"/>
            <w:tcBorders>
              <w:left w:val="single" w:color="000000" w:sz="4" w:space="0"/>
              <w:right w:val="single" w:color="000000" w:sz="4" w:space="0"/>
            </w:tcBorders>
            <w:shd w:val="clear" w:color="auto" w:fill="auto"/>
            <w:vAlign w:val="bottom"/>
          </w:tcPr>
          <w:p w14:paraId="48662427">
            <w:pPr>
              <w:spacing w:line="320" w:lineRule="exact"/>
              <w:jc w:val="center"/>
              <w:rPr>
                <w:rFonts w:ascii="仿宋_GB2312" w:hAnsi="仿宋_GB2312" w:eastAsia="仿宋_GB2312" w:cs="仿宋_GB2312"/>
                <w:kern w:val="0"/>
                <w:sz w:val="24"/>
                <w:szCs w:val="28"/>
                <w:lang w:bidi="ar"/>
              </w:rPr>
            </w:pPr>
          </w:p>
        </w:tc>
        <w:tc>
          <w:tcPr>
            <w:tcW w:w="1276" w:type="dxa"/>
            <w:gridSpan w:val="2"/>
            <w:vMerge w:val="continue"/>
            <w:tcBorders>
              <w:left w:val="single" w:color="000000" w:sz="4" w:space="0"/>
              <w:bottom w:val="single" w:color="000000" w:sz="4" w:space="0"/>
              <w:right w:val="single" w:color="000000" w:sz="4" w:space="0"/>
            </w:tcBorders>
            <w:shd w:val="clear" w:color="auto" w:fill="auto"/>
            <w:vAlign w:val="center"/>
          </w:tcPr>
          <w:p w14:paraId="369136AA">
            <w:pPr>
              <w:widowControl/>
              <w:spacing w:line="320" w:lineRule="exact"/>
              <w:jc w:val="center"/>
              <w:textAlignment w:val="bottom"/>
              <w:rPr>
                <w:rFonts w:ascii="仿宋_GB2312" w:hAnsi="仿宋_GB2312" w:eastAsia="仿宋_GB2312" w:cs="仿宋_GB2312"/>
                <w:sz w:val="24"/>
                <w:szCs w:val="28"/>
              </w:rPr>
            </w:pP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77B28">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项目空调安装</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23A9E">
            <w:pPr>
              <w:widowControl/>
              <w:spacing w:line="320" w:lineRule="exact"/>
              <w:jc w:val="center"/>
              <w:textAlignment w:val="bottom"/>
              <w:rPr>
                <w:rFonts w:ascii="仿宋_GB2312" w:hAnsi="仿宋_GB2312" w:eastAsia="仿宋_GB2312" w:cs="仿宋_GB2312"/>
                <w:kern w:val="0"/>
                <w:sz w:val="22"/>
                <w:szCs w:val="28"/>
                <w:lang w:bidi="ar"/>
              </w:rPr>
            </w:pPr>
            <w:r>
              <w:rPr>
                <w:rFonts w:hint="eastAsia" w:ascii="仿宋_GB2312" w:hAnsi="仿宋_GB2312" w:eastAsia="仿宋_GB2312" w:cs="仿宋_GB2312"/>
                <w:kern w:val="0"/>
                <w:sz w:val="22"/>
                <w:szCs w:val="28"/>
                <w:lang w:bidi="ar"/>
              </w:rPr>
              <w:t>380台</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1B48">
            <w:pPr>
              <w:widowControl/>
              <w:spacing w:line="320" w:lineRule="exact"/>
              <w:jc w:val="center"/>
              <w:textAlignment w:val="bottom"/>
              <w:rPr>
                <w:rFonts w:ascii="仿宋_GB2312" w:hAnsi="仿宋_GB2312" w:eastAsia="仿宋_GB2312" w:cs="仿宋_GB2312"/>
                <w:kern w:val="0"/>
                <w:sz w:val="22"/>
                <w:szCs w:val="28"/>
                <w:lang w:bidi="ar"/>
              </w:rPr>
            </w:pPr>
            <w:r>
              <w:rPr>
                <w:rFonts w:hint="eastAsia" w:ascii="仿宋_GB2312" w:hAnsi="仿宋_GB2312" w:eastAsia="仿宋_GB2312" w:cs="仿宋_GB2312"/>
                <w:kern w:val="0"/>
                <w:sz w:val="22"/>
                <w:szCs w:val="28"/>
                <w:lang w:bidi="ar"/>
              </w:rPr>
              <w:t>380台</w:t>
            </w:r>
          </w:p>
        </w:tc>
      </w:tr>
      <w:tr w14:paraId="0377F762">
        <w:tblPrEx>
          <w:tblCellMar>
            <w:top w:w="0" w:type="dxa"/>
            <w:left w:w="108" w:type="dxa"/>
            <w:bottom w:w="0" w:type="dxa"/>
            <w:right w:w="108" w:type="dxa"/>
          </w:tblCellMar>
        </w:tblPrEx>
        <w:trPr>
          <w:gridAfter w:val="1"/>
          <w:wAfter w:w="236" w:type="dxa"/>
          <w:trHeight w:val="480" w:hRule="atLeast"/>
        </w:trPr>
        <w:tc>
          <w:tcPr>
            <w:tcW w:w="817" w:type="dxa"/>
            <w:vMerge w:val="continue"/>
            <w:tcBorders>
              <w:left w:val="single" w:color="000000" w:sz="4" w:space="0"/>
              <w:right w:val="single" w:color="000000" w:sz="4" w:space="0"/>
            </w:tcBorders>
            <w:shd w:val="clear" w:color="auto" w:fill="auto"/>
            <w:vAlign w:val="center"/>
          </w:tcPr>
          <w:p w14:paraId="731950DF">
            <w:pPr>
              <w:spacing w:line="320" w:lineRule="exact"/>
              <w:jc w:val="center"/>
              <w:rPr>
                <w:rFonts w:ascii="仿宋_GB2312" w:hAnsi="仿宋_GB2312" w:eastAsia="仿宋_GB2312" w:cs="仿宋_GB2312"/>
                <w:sz w:val="28"/>
                <w:szCs w:val="28"/>
              </w:rPr>
            </w:pPr>
          </w:p>
        </w:tc>
        <w:tc>
          <w:tcPr>
            <w:tcW w:w="992" w:type="dxa"/>
            <w:vMerge w:val="continue"/>
            <w:tcBorders>
              <w:left w:val="single" w:color="000000" w:sz="4" w:space="0"/>
              <w:right w:val="single" w:color="000000" w:sz="4" w:space="0"/>
            </w:tcBorders>
            <w:shd w:val="clear" w:color="auto" w:fill="auto"/>
            <w:vAlign w:val="bottom"/>
          </w:tcPr>
          <w:p w14:paraId="50F1B663">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43581">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质量指标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15112">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运动场周边改造、实训基地建设、空调安装达到项目验收合格率</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20635">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达到100%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95D2">
            <w:pPr>
              <w:widowControl/>
              <w:spacing w:line="320" w:lineRule="exact"/>
              <w:jc w:val="center"/>
              <w:textAlignment w:val="bottom"/>
              <w:rPr>
                <w:rFonts w:ascii="仿宋_GB2312" w:hAnsi="仿宋_GB2312" w:eastAsia="仿宋_GB2312" w:cs="仿宋_GB2312"/>
                <w:kern w:val="0"/>
                <w:sz w:val="22"/>
                <w:szCs w:val="28"/>
                <w:lang w:bidi="ar"/>
              </w:rPr>
            </w:pPr>
            <w:r>
              <w:rPr>
                <w:rFonts w:hint="eastAsia" w:ascii="仿宋_GB2312" w:hAnsi="仿宋_GB2312" w:eastAsia="仿宋_GB2312" w:cs="仿宋_GB2312"/>
                <w:kern w:val="0"/>
                <w:sz w:val="22"/>
                <w:szCs w:val="28"/>
                <w:lang w:bidi="ar"/>
              </w:rPr>
              <w:t>100%</w:t>
            </w:r>
          </w:p>
        </w:tc>
      </w:tr>
      <w:tr w14:paraId="7C276AC4">
        <w:tblPrEx>
          <w:tblCellMar>
            <w:top w:w="0" w:type="dxa"/>
            <w:left w:w="108" w:type="dxa"/>
            <w:bottom w:w="0" w:type="dxa"/>
            <w:right w:w="108" w:type="dxa"/>
          </w:tblCellMar>
        </w:tblPrEx>
        <w:trPr>
          <w:gridAfter w:val="1"/>
          <w:wAfter w:w="236" w:type="dxa"/>
          <w:trHeight w:val="480" w:hRule="atLeast"/>
        </w:trPr>
        <w:tc>
          <w:tcPr>
            <w:tcW w:w="817" w:type="dxa"/>
            <w:vMerge w:val="continue"/>
            <w:tcBorders>
              <w:left w:val="single" w:color="000000" w:sz="4" w:space="0"/>
              <w:right w:val="single" w:color="000000" w:sz="4" w:space="0"/>
            </w:tcBorders>
            <w:shd w:val="clear" w:color="auto" w:fill="auto"/>
            <w:vAlign w:val="center"/>
          </w:tcPr>
          <w:p w14:paraId="442507AE">
            <w:pPr>
              <w:spacing w:line="320" w:lineRule="exact"/>
              <w:jc w:val="center"/>
              <w:rPr>
                <w:rFonts w:ascii="仿宋_GB2312" w:hAnsi="仿宋_GB2312" w:eastAsia="仿宋_GB2312" w:cs="仿宋_GB2312"/>
                <w:sz w:val="28"/>
                <w:szCs w:val="28"/>
              </w:rPr>
            </w:pPr>
          </w:p>
        </w:tc>
        <w:tc>
          <w:tcPr>
            <w:tcW w:w="992" w:type="dxa"/>
            <w:vMerge w:val="continue"/>
            <w:tcBorders>
              <w:left w:val="single" w:color="000000" w:sz="4" w:space="0"/>
              <w:right w:val="single" w:color="000000" w:sz="4" w:space="0"/>
            </w:tcBorders>
            <w:shd w:val="clear" w:color="auto" w:fill="auto"/>
            <w:vAlign w:val="bottom"/>
          </w:tcPr>
          <w:p w14:paraId="2D7C18F2">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39E6B">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时效指标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EEFEC">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建设项目完成时限</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726D3">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2021 年全部完成</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D3BF">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8 月全部完成</w:t>
            </w:r>
          </w:p>
        </w:tc>
      </w:tr>
      <w:tr w14:paraId="2823AA4C">
        <w:tblPrEx>
          <w:tblCellMar>
            <w:top w:w="0" w:type="dxa"/>
            <w:left w:w="108" w:type="dxa"/>
            <w:bottom w:w="0" w:type="dxa"/>
            <w:right w:w="108" w:type="dxa"/>
          </w:tblCellMar>
        </w:tblPrEx>
        <w:trPr>
          <w:gridAfter w:val="1"/>
          <w:wAfter w:w="236" w:type="dxa"/>
          <w:trHeight w:val="480" w:hRule="atLeast"/>
        </w:trPr>
        <w:tc>
          <w:tcPr>
            <w:tcW w:w="817" w:type="dxa"/>
            <w:vMerge w:val="continue"/>
            <w:tcBorders>
              <w:left w:val="single" w:color="000000" w:sz="4" w:space="0"/>
              <w:right w:val="single" w:color="000000" w:sz="4" w:space="0"/>
            </w:tcBorders>
            <w:shd w:val="clear" w:color="auto" w:fill="auto"/>
            <w:vAlign w:val="center"/>
          </w:tcPr>
          <w:p w14:paraId="262D83DB">
            <w:pPr>
              <w:spacing w:line="320" w:lineRule="exact"/>
              <w:jc w:val="center"/>
              <w:rPr>
                <w:rFonts w:ascii="仿宋_GB2312" w:hAnsi="仿宋_GB2312" w:eastAsia="仿宋_GB2312" w:cs="仿宋_GB2312"/>
                <w:sz w:val="28"/>
                <w:szCs w:val="28"/>
              </w:rPr>
            </w:pPr>
          </w:p>
        </w:tc>
        <w:tc>
          <w:tcPr>
            <w:tcW w:w="992" w:type="dxa"/>
            <w:vMerge w:val="continue"/>
            <w:tcBorders>
              <w:left w:val="single" w:color="000000" w:sz="4" w:space="0"/>
              <w:bottom w:val="single" w:color="000000" w:sz="4" w:space="0"/>
              <w:right w:val="single" w:color="000000" w:sz="4" w:space="0"/>
            </w:tcBorders>
            <w:shd w:val="clear" w:color="auto" w:fill="auto"/>
            <w:vAlign w:val="bottom"/>
          </w:tcPr>
          <w:p w14:paraId="11545062">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19268">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成本指标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FD26B">
            <w:pPr>
              <w:widowControl/>
              <w:spacing w:line="320" w:lineRule="exact"/>
              <w:jc w:val="center"/>
              <w:textAlignment w:val="bottom"/>
              <w:rPr>
                <w:rFonts w:ascii="仿宋_GB2312" w:hAnsi="仿宋_GB2312" w:eastAsia="仿宋_GB2312" w:cs="仿宋_GB2312"/>
                <w:kern w:val="0"/>
                <w:sz w:val="22"/>
                <w:szCs w:val="28"/>
                <w:lang w:bidi="ar"/>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D8EDB">
            <w:pPr>
              <w:widowControl/>
              <w:spacing w:line="320" w:lineRule="exact"/>
              <w:jc w:val="center"/>
              <w:textAlignment w:val="bottom"/>
              <w:rPr>
                <w:rFonts w:ascii="仿宋_GB2312" w:hAnsi="仿宋_GB2312" w:eastAsia="仿宋_GB2312" w:cs="仿宋_GB2312"/>
                <w:kern w:val="0"/>
                <w:sz w:val="22"/>
                <w:szCs w:val="28"/>
                <w:lang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8CB4">
            <w:pPr>
              <w:widowControl/>
              <w:spacing w:line="320" w:lineRule="exact"/>
              <w:jc w:val="center"/>
              <w:textAlignment w:val="bottom"/>
              <w:rPr>
                <w:rFonts w:ascii="仿宋_GB2312" w:hAnsi="仿宋_GB2312" w:eastAsia="仿宋_GB2312" w:cs="仿宋_GB2312"/>
                <w:kern w:val="0"/>
                <w:sz w:val="22"/>
                <w:szCs w:val="28"/>
                <w:lang w:bidi="ar"/>
              </w:rPr>
            </w:pPr>
          </w:p>
        </w:tc>
      </w:tr>
      <w:tr w14:paraId="5409D1F3">
        <w:tblPrEx>
          <w:tblCellMar>
            <w:top w:w="0" w:type="dxa"/>
            <w:left w:w="108" w:type="dxa"/>
            <w:bottom w:w="0" w:type="dxa"/>
            <w:right w:w="108" w:type="dxa"/>
          </w:tblCellMar>
        </w:tblPrEx>
        <w:trPr>
          <w:gridAfter w:val="1"/>
          <w:wAfter w:w="236" w:type="dxa"/>
          <w:trHeight w:val="480" w:hRule="atLeast"/>
        </w:trPr>
        <w:tc>
          <w:tcPr>
            <w:tcW w:w="817" w:type="dxa"/>
            <w:vMerge w:val="continue"/>
            <w:tcBorders>
              <w:left w:val="single" w:color="000000" w:sz="4" w:space="0"/>
              <w:right w:val="single" w:color="000000" w:sz="4" w:space="0"/>
            </w:tcBorders>
            <w:shd w:val="clear" w:color="auto" w:fill="auto"/>
            <w:vAlign w:val="center"/>
          </w:tcPr>
          <w:p w14:paraId="6727D228">
            <w:pPr>
              <w:spacing w:line="320" w:lineRule="exact"/>
              <w:jc w:val="center"/>
              <w:rPr>
                <w:rFonts w:ascii="仿宋_GB2312" w:hAnsi="仿宋_GB2312" w:eastAsia="仿宋_GB2312" w:cs="仿宋_GB2312"/>
                <w:sz w:val="28"/>
                <w:szCs w:val="28"/>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2BB78">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效益指标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AF015">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经济效益  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FE719">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为经济社会发展提供 技术技能型人才</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8C54D">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大于 1000 人/年</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B564">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21 年毕业 1411 人</w:t>
            </w:r>
          </w:p>
        </w:tc>
      </w:tr>
      <w:tr w14:paraId="5B9A4B32">
        <w:tblPrEx>
          <w:tblCellMar>
            <w:top w:w="0" w:type="dxa"/>
            <w:left w:w="108" w:type="dxa"/>
            <w:bottom w:w="0" w:type="dxa"/>
            <w:right w:w="108" w:type="dxa"/>
          </w:tblCellMar>
        </w:tblPrEx>
        <w:trPr>
          <w:gridAfter w:val="1"/>
          <w:wAfter w:w="236" w:type="dxa"/>
          <w:trHeight w:val="480" w:hRule="atLeast"/>
        </w:trPr>
        <w:tc>
          <w:tcPr>
            <w:tcW w:w="817" w:type="dxa"/>
            <w:vMerge w:val="continue"/>
            <w:tcBorders>
              <w:left w:val="single" w:color="000000" w:sz="4" w:space="0"/>
              <w:right w:val="single" w:color="000000" w:sz="4" w:space="0"/>
            </w:tcBorders>
            <w:shd w:val="clear" w:color="auto" w:fill="auto"/>
            <w:vAlign w:val="center"/>
          </w:tcPr>
          <w:p w14:paraId="43EEE4A3">
            <w:pPr>
              <w:spacing w:line="320" w:lineRule="exact"/>
              <w:jc w:val="center"/>
              <w:rPr>
                <w:rFonts w:ascii="仿宋_GB2312" w:hAnsi="仿宋_GB2312" w:eastAsia="仿宋_GB2312" w:cs="仿宋_GB2312"/>
                <w:sz w:val="28"/>
                <w:szCs w:val="2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F3A2DAE">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C2372">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社会效益  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9EDBE">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受益学生数</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1DCBD">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大于 4500 人/年</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FE1B">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21 年受益学生 5840 人</w:t>
            </w:r>
          </w:p>
        </w:tc>
      </w:tr>
      <w:tr w14:paraId="0F9B04A6">
        <w:tblPrEx>
          <w:tblCellMar>
            <w:top w:w="0" w:type="dxa"/>
            <w:left w:w="108" w:type="dxa"/>
            <w:bottom w:w="0" w:type="dxa"/>
            <w:right w:w="108" w:type="dxa"/>
          </w:tblCellMar>
        </w:tblPrEx>
        <w:trPr>
          <w:gridAfter w:val="1"/>
          <w:wAfter w:w="236" w:type="dxa"/>
          <w:trHeight w:val="577" w:hRule="atLeast"/>
        </w:trPr>
        <w:tc>
          <w:tcPr>
            <w:tcW w:w="817" w:type="dxa"/>
            <w:vMerge w:val="continue"/>
            <w:tcBorders>
              <w:left w:val="single" w:color="000000" w:sz="4" w:space="0"/>
              <w:right w:val="single" w:color="000000" w:sz="4" w:space="0"/>
            </w:tcBorders>
            <w:shd w:val="clear" w:color="auto" w:fill="auto"/>
            <w:vAlign w:val="center"/>
          </w:tcPr>
          <w:p w14:paraId="509BA008">
            <w:pPr>
              <w:spacing w:line="320" w:lineRule="exact"/>
              <w:jc w:val="center"/>
              <w:rPr>
                <w:rFonts w:ascii="仿宋_GB2312" w:hAnsi="仿宋_GB2312" w:eastAsia="仿宋_GB2312" w:cs="仿宋_GB2312"/>
                <w:sz w:val="28"/>
                <w:szCs w:val="2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B60EE7A">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3517A">
            <w:pPr>
              <w:widowControl/>
              <w:spacing w:line="320" w:lineRule="exact"/>
              <w:ind w:left="78" w:leftChars="37"/>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生态效益指标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36B8A">
            <w:pPr>
              <w:widowControl/>
              <w:spacing w:line="320" w:lineRule="exact"/>
              <w:jc w:val="center"/>
              <w:textAlignment w:val="bottom"/>
              <w:rPr>
                <w:rFonts w:ascii="仿宋_GB2312" w:hAnsi="仿宋_GB2312" w:eastAsia="仿宋_GB2312" w:cs="仿宋_GB2312"/>
                <w:kern w:val="0"/>
                <w:sz w:val="22"/>
                <w:szCs w:val="28"/>
                <w:lang w:bidi="ar"/>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76100">
            <w:pPr>
              <w:widowControl/>
              <w:spacing w:line="320" w:lineRule="exact"/>
              <w:jc w:val="center"/>
              <w:textAlignment w:val="bottom"/>
              <w:rPr>
                <w:rFonts w:ascii="仿宋_GB2312" w:hAnsi="仿宋_GB2312" w:eastAsia="仿宋_GB2312" w:cs="仿宋_GB2312"/>
                <w:kern w:val="0"/>
                <w:sz w:val="22"/>
                <w:szCs w:val="28"/>
                <w:lang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6618">
            <w:pPr>
              <w:widowControl/>
              <w:spacing w:line="320" w:lineRule="exact"/>
              <w:jc w:val="center"/>
              <w:textAlignment w:val="bottom"/>
              <w:rPr>
                <w:rFonts w:ascii="仿宋_GB2312" w:hAnsi="仿宋_GB2312" w:eastAsia="仿宋_GB2312" w:cs="仿宋_GB2312"/>
                <w:kern w:val="0"/>
                <w:sz w:val="22"/>
                <w:szCs w:val="28"/>
                <w:lang w:bidi="ar"/>
              </w:rPr>
            </w:pPr>
          </w:p>
        </w:tc>
      </w:tr>
      <w:tr w14:paraId="7F9EC6CE">
        <w:tblPrEx>
          <w:tblCellMar>
            <w:top w:w="0" w:type="dxa"/>
            <w:left w:w="108" w:type="dxa"/>
            <w:bottom w:w="0" w:type="dxa"/>
            <w:right w:w="108" w:type="dxa"/>
          </w:tblCellMar>
        </w:tblPrEx>
        <w:trPr>
          <w:gridAfter w:val="1"/>
          <w:wAfter w:w="236" w:type="dxa"/>
          <w:trHeight w:val="480" w:hRule="atLeast"/>
        </w:trPr>
        <w:tc>
          <w:tcPr>
            <w:tcW w:w="817" w:type="dxa"/>
            <w:vMerge w:val="continue"/>
            <w:tcBorders>
              <w:left w:val="single" w:color="000000" w:sz="4" w:space="0"/>
              <w:right w:val="single" w:color="000000" w:sz="4" w:space="0"/>
            </w:tcBorders>
            <w:shd w:val="clear" w:color="auto" w:fill="auto"/>
            <w:vAlign w:val="center"/>
          </w:tcPr>
          <w:p w14:paraId="53BC4AB3">
            <w:pPr>
              <w:spacing w:line="320" w:lineRule="exact"/>
              <w:jc w:val="center"/>
              <w:rPr>
                <w:rFonts w:ascii="仿宋_GB2312" w:hAnsi="仿宋_GB2312" w:eastAsia="仿宋_GB2312" w:cs="仿宋_GB2312"/>
                <w:sz w:val="28"/>
                <w:szCs w:val="2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46165B0">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8774C">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可持续影响指标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331A6">
            <w:pPr>
              <w:widowControl/>
              <w:spacing w:line="320" w:lineRule="exact"/>
              <w:jc w:val="center"/>
              <w:textAlignment w:val="bottom"/>
              <w:rPr>
                <w:rFonts w:ascii="仿宋_GB2312" w:hAnsi="仿宋_GB2312" w:eastAsia="仿宋_GB2312" w:cs="仿宋_GB2312"/>
                <w:kern w:val="0"/>
                <w:sz w:val="22"/>
                <w:szCs w:val="28"/>
                <w:lang w:bidi="ar"/>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00A12">
            <w:pPr>
              <w:widowControl/>
              <w:spacing w:line="320" w:lineRule="exact"/>
              <w:jc w:val="center"/>
              <w:textAlignment w:val="bottom"/>
              <w:rPr>
                <w:rFonts w:ascii="仿宋_GB2312" w:hAnsi="仿宋_GB2312" w:eastAsia="仿宋_GB2312" w:cs="仿宋_GB2312"/>
                <w:kern w:val="0"/>
                <w:sz w:val="22"/>
                <w:szCs w:val="28"/>
                <w:lang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6D24">
            <w:pPr>
              <w:widowControl/>
              <w:spacing w:line="320" w:lineRule="exact"/>
              <w:jc w:val="center"/>
              <w:textAlignment w:val="bottom"/>
              <w:rPr>
                <w:rFonts w:ascii="仿宋_GB2312" w:hAnsi="仿宋_GB2312" w:eastAsia="仿宋_GB2312" w:cs="仿宋_GB2312"/>
                <w:kern w:val="0"/>
                <w:sz w:val="22"/>
                <w:szCs w:val="28"/>
                <w:lang w:bidi="ar"/>
              </w:rPr>
            </w:pPr>
          </w:p>
        </w:tc>
      </w:tr>
      <w:tr w14:paraId="69102392">
        <w:tblPrEx>
          <w:tblCellMar>
            <w:top w:w="0" w:type="dxa"/>
            <w:left w:w="108" w:type="dxa"/>
            <w:bottom w:w="0" w:type="dxa"/>
            <w:right w:w="108" w:type="dxa"/>
          </w:tblCellMar>
        </w:tblPrEx>
        <w:trPr>
          <w:gridAfter w:val="1"/>
          <w:wAfter w:w="236" w:type="dxa"/>
          <w:trHeight w:val="530" w:hRule="atLeast"/>
        </w:trPr>
        <w:tc>
          <w:tcPr>
            <w:tcW w:w="817" w:type="dxa"/>
            <w:vMerge w:val="continue"/>
            <w:tcBorders>
              <w:left w:val="single" w:color="000000" w:sz="4" w:space="0"/>
              <w:bottom w:val="single" w:color="000000" w:sz="4" w:space="0"/>
              <w:right w:val="single" w:color="000000" w:sz="4" w:space="0"/>
            </w:tcBorders>
            <w:shd w:val="clear" w:color="auto" w:fill="auto"/>
            <w:vAlign w:val="center"/>
          </w:tcPr>
          <w:p w14:paraId="6BE01647">
            <w:pPr>
              <w:spacing w:line="320" w:lineRule="exact"/>
              <w:jc w:val="center"/>
              <w:rPr>
                <w:rFonts w:ascii="仿宋_GB2312" w:hAnsi="仿宋_GB2312"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7C5AF">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满意度指标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80901">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满意度</w:t>
            </w:r>
          </w:p>
          <w:p w14:paraId="4F5D4086">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C8637">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学生、教师满意度</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EB6E7">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大于 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1A22">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99%</w:t>
            </w:r>
          </w:p>
        </w:tc>
      </w:tr>
    </w:tbl>
    <w:p w14:paraId="1F5EBC97">
      <w:pPr>
        <w:spacing w:line="600" w:lineRule="exact"/>
        <w:jc w:val="center"/>
        <w:outlineLvl w:val="0"/>
        <w:rPr>
          <w:rFonts w:ascii="黑体" w:hAnsi="黑体" w:eastAsia="黑体"/>
          <w:sz w:val="44"/>
          <w:szCs w:val="44"/>
        </w:rPr>
      </w:pPr>
    </w:p>
    <w:p w14:paraId="71F5F8E4">
      <w:pPr>
        <w:spacing w:line="572" w:lineRule="exact"/>
        <w:jc w:val="left"/>
        <w:outlineLvl w:val="0"/>
        <w:rPr>
          <w:rFonts w:ascii="仿宋_GB2312" w:hAnsi="仿宋_GB2312" w:eastAsia="仿宋_GB2312" w:cs="仿宋_GB2312"/>
          <w:sz w:val="32"/>
          <w:szCs w:val="32"/>
        </w:rPr>
      </w:pPr>
      <w:bookmarkStart w:id="138" w:name="_Toc119073735"/>
      <w:bookmarkStart w:id="139" w:name="_Toc113477805"/>
      <w:r>
        <w:rPr>
          <w:rFonts w:hint="eastAsia" w:ascii="黑体" w:hAnsi="黑体" w:eastAsia="黑体" w:cs="黑体"/>
          <w:sz w:val="32"/>
          <w:szCs w:val="32"/>
        </w:rPr>
        <w:t>附件2</w:t>
      </w:r>
      <w:bookmarkEnd w:id="138"/>
      <w:bookmarkEnd w:id="139"/>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817"/>
        <w:gridCol w:w="992"/>
        <w:gridCol w:w="142"/>
        <w:gridCol w:w="1134"/>
        <w:gridCol w:w="992"/>
        <w:gridCol w:w="1418"/>
        <w:gridCol w:w="2126"/>
        <w:gridCol w:w="1954"/>
        <w:gridCol w:w="236"/>
      </w:tblGrid>
      <w:tr w14:paraId="0FAA78F8">
        <w:tblPrEx>
          <w:tblCellMar>
            <w:top w:w="0" w:type="dxa"/>
            <w:left w:w="108" w:type="dxa"/>
            <w:bottom w:w="0" w:type="dxa"/>
            <w:right w:w="108" w:type="dxa"/>
          </w:tblCellMar>
        </w:tblPrEx>
        <w:trPr>
          <w:trHeight w:val="675" w:hRule="atLeast"/>
        </w:trPr>
        <w:tc>
          <w:tcPr>
            <w:tcW w:w="9575" w:type="dxa"/>
            <w:gridSpan w:val="8"/>
            <w:tcBorders>
              <w:top w:val="nil"/>
              <w:left w:val="nil"/>
              <w:bottom w:val="nil"/>
              <w:right w:val="nil"/>
            </w:tcBorders>
            <w:shd w:val="clear" w:color="auto" w:fill="auto"/>
            <w:vAlign w:val="center"/>
          </w:tcPr>
          <w:p w14:paraId="76165617">
            <w:pPr>
              <w:widowControl/>
              <w:textAlignment w:val="center"/>
              <w:rPr>
                <w:rFonts w:ascii="宋体" w:hAnsi="宋体" w:cs="宋体"/>
                <w:b/>
                <w:sz w:val="32"/>
                <w:szCs w:val="32"/>
              </w:rPr>
            </w:pPr>
            <w:r>
              <w:rPr>
                <w:rFonts w:hint="eastAsia" w:ascii="宋体" w:hAnsi="宋体" w:cs="宋体"/>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14:paraId="7BCE27D0">
            <w:pPr>
              <w:widowControl/>
              <w:jc w:val="center"/>
              <w:textAlignment w:val="center"/>
              <w:rPr>
                <w:rFonts w:ascii="宋体" w:hAnsi="宋体" w:cs="宋体"/>
                <w:b/>
                <w:kern w:val="0"/>
                <w:sz w:val="32"/>
                <w:szCs w:val="32"/>
                <w:lang w:bidi="ar"/>
              </w:rPr>
            </w:pPr>
          </w:p>
        </w:tc>
      </w:tr>
      <w:tr w14:paraId="44442B98">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32DC5">
            <w:pPr>
              <w:widowControl/>
              <w:spacing w:line="320" w:lineRule="exact"/>
              <w:jc w:val="center"/>
              <w:textAlignment w:val="center"/>
              <w:rPr>
                <w:rFonts w:ascii="宋体" w:hAnsi="宋体" w:cs="宋体"/>
                <w:kern w:val="0"/>
                <w:sz w:val="22"/>
                <w:lang w:bidi="ar"/>
              </w:rPr>
            </w:pPr>
            <w:r>
              <w:rPr>
                <w:rFonts w:hint="eastAsia" w:ascii="宋体" w:hAnsi="宋体" w:cs="宋体"/>
                <w:kern w:val="0"/>
                <w:sz w:val="22"/>
                <w:lang w:bidi="ar"/>
              </w:rPr>
              <w:t>项目名称</w:t>
            </w:r>
          </w:p>
        </w:tc>
        <w:tc>
          <w:tcPr>
            <w:tcW w:w="76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A049B">
            <w:pPr>
              <w:widowControl/>
              <w:spacing w:line="320" w:lineRule="exact"/>
              <w:jc w:val="center"/>
              <w:textAlignment w:val="center"/>
              <w:rPr>
                <w:rFonts w:ascii="宋体" w:hAnsi="宋体" w:cs="宋体"/>
                <w:sz w:val="22"/>
              </w:rPr>
            </w:pPr>
            <w:r>
              <w:rPr>
                <w:rFonts w:hint="eastAsia" w:ascii="宋体" w:hAnsi="宋体" w:cs="宋体"/>
                <w:sz w:val="22"/>
              </w:rPr>
              <w:t>2021年中央和省级部分学生资助补助经费预算</w:t>
            </w:r>
          </w:p>
        </w:tc>
      </w:tr>
      <w:tr w14:paraId="64DF75A0">
        <w:tblPrEx>
          <w:tblCellMar>
            <w:top w:w="0" w:type="dxa"/>
            <w:left w:w="108" w:type="dxa"/>
            <w:bottom w:w="0" w:type="dxa"/>
            <w:right w:w="108" w:type="dxa"/>
          </w:tblCellMar>
        </w:tblPrEx>
        <w:trPr>
          <w:gridAfter w:val="1"/>
          <w:wAfter w:w="236" w:type="dxa"/>
          <w:trHeight w:val="254" w:hRule="atLeast"/>
        </w:trPr>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07AF1">
            <w:pPr>
              <w:widowControl/>
              <w:spacing w:line="320" w:lineRule="exact"/>
              <w:jc w:val="center"/>
              <w:textAlignment w:val="center"/>
              <w:rPr>
                <w:rFonts w:ascii="宋体" w:hAnsi="宋体" w:cs="宋体"/>
                <w:sz w:val="22"/>
              </w:rPr>
            </w:pPr>
            <w:r>
              <w:rPr>
                <w:rFonts w:hint="eastAsia" w:ascii="宋体" w:hAnsi="宋体" w:cs="宋体"/>
                <w:kern w:val="0"/>
                <w:sz w:val="22"/>
                <w:lang w:bidi="ar"/>
              </w:rPr>
              <w:t>主管部门及代码</w:t>
            </w:r>
          </w:p>
        </w:tc>
        <w:tc>
          <w:tcPr>
            <w:tcW w:w="3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0835B">
            <w:pPr>
              <w:widowControl/>
              <w:spacing w:line="320" w:lineRule="exact"/>
              <w:textAlignment w:val="center"/>
              <w:rPr>
                <w:rFonts w:ascii="宋体" w:hAnsi="宋体" w:cs="宋体"/>
                <w:sz w:val="22"/>
              </w:rPr>
            </w:pPr>
            <w:r>
              <w:rPr>
                <w:rFonts w:hint="eastAsia" w:ascii="宋体" w:hAnsi="宋体" w:cs="宋体"/>
                <w:sz w:val="22"/>
              </w:rPr>
              <w:t>四川省地质矿产勘查开发局</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9F8">
            <w:pPr>
              <w:widowControl/>
              <w:spacing w:line="320" w:lineRule="exact"/>
              <w:jc w:val="center"/>
              <w:textAlignment w:val="center"/>
              <w:rPr>
                <w:rFonts w:ascii="宋体" w:hAnsi="宋体" w:cs="宋体"/>
                <w:sz w:val="22"/>
              </w:rPr>
            </w:pPr>
            <w:r>
              <w:rPr>
                <w:rFonts w:hint="eastAsia" w:ascii="宋体" w:hAnsi="宋体" w:cs="宋体"/>
                <w:kern w:val="0"/>
                <w:sz w:val="22"/>
                <w:lang w:bidi="ar"/>
              </w:rPr>
              <w:t>实施单位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F0EF">
            <w:pPr>
              <w:widowControl/>
              <w:spacing w:line="320" w:lineRule="exact"/>
              <w:jc w:val="center"/>
              <w:textAlignment w:val="center"/>
              <w:rPr>
                <w:rFonts w:ascii="宋体" w:hAnsi="宋体" w:cs="宋体"/>
                <w:sz w:val="22"/>
              </w:rPr>
            </w:pPr>
            <w:r>
              <w:rPr>
                <w:rFonts w:hint="eastAsia" w:ascii="宋体" w:hAnsi="宋体" w:cs="宋体"/>
                <w:sz w:val="22"/>
              </w:rPr>
              <w:t>四川矿产机电技师学院</w:t>
            </w:r>
          </w:p>
        </w:tc>
      </w:tr>
      <w:tr w14:paraId="0A0A4D7F">
        <w:tblPrEx>
          <w:tblCellMar>
            <w:top w:w="0" w:type="dxa"/>
            <w:left w:w="108" w:type="dxa"/>
            <w:bottom w:w="0" w:type="dxa"/>
            <w:right w:w="108" w:type="dxa"/>
          </w:tblCellMar>
        </w:tblPrEx>
        <w:trPr>
          <w:gridAfter w:val="1"/>
          <w:wAfter w:w="236" w:type="dxa"/>
          <w:trHeight w:val="341" w:hRule="atLeast"/>
        </w:trPr>
        <w:tc>
          <w:tcPr>
            <w:tcW w:w="19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0F031">
            <w:pPr>
              <w:widowControl/>
              <w:spacing w:line="320" w:lineRule="exact"/>
              <w:jc w:val="center"/>
              <w:textAlignment w:val="center"/>
              <w:rPr>
                <w:rFonts w:ascii="宋体" w:hAnsi="宋体" w:cs="宋体"/>
                <w:sz w:val="22"/>
              </w:rPr>
            </w:pPr>
            <w:r>
              <w:rPr>
                <w:rFonts w:hint="eastAsia" w:ascii="宋体" w:hAnsi="宋体" w:cs="宋体"/>
                <w:kern w:val="0"/>
                <w:sz w:val="22"/>
                <w:lang w:bidi="ar"/>
              </w:rPr>
              <w:t>项目预算</w:t>
            </w:r>
            <w:r>
              <w:rPr>
                <w:rFonts w:hint="eastAsia" w:ascii="宋体" w:hAnsi="宋体" w:cs="宋体"/>
                <w:kern w:val="0"/>
                <w:sz w:val="22"/>
                <w:lang w:bidi="ar"/>
              </w:rPr>
              <w:br w:type="textWrapping"/>
            </w:r>
            <w:r>
              <w:rPr>
                <w:rFonts w:hint="eastAsia" w:ascii="宋体" w:hAnsi="宋体" w:cs="宋体"/>
                <w:kern w:val="0"/>
                <w:sz w:val="22"/>
                <w:lang w:bidi="ar"/>
              </w:rPr>
              <w:t>执行情况</w:t>
            </w:r>
            <w:r>
              <w:rPr>
                <w:rFonts w:hint="eastAsia" w:ascii="宋体" w:hAnsi="宋体" w:cs="宋体"/>
                <w:kern w:val="0"/>
                <w:sz w:val="22"/>
                <w:lang w:bidi="ar"/>
              </w:rPr>
              <w:br w:type="textWrapping"/>
            </w:r>
            <w:r>
              <w:rPr>
                <w:rFonts w:hint="eastAsia" w:ascii="宋体" w:hAnsi="宋体" w:cs="宋体"/>
                <w:kern w:val="0"/>
                <w:sz w:val="22"/>
                <w:lang w:bidi="ar"/>
              </w:rPr>
              <w:t>（万元）</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ADEA6">
            <w:pPr>
              <w:widowControl/>
              <w:spacing w:line="320" w:lineRule="exact"/>
              <w:jc w:val="left"/>
              <w:textAlignment w:val="center"/>
              <w:rPr>
                <w:rFonts w:ascii="宋体" w:hAnsi="宋体" w:cs="宋体"/>
                <w:sz w:val="22"/>
              </w:rPr>
            </w:pPr>
            <w:r>
              <w:rPr>
                <w:rFonts w:hint="eastAsia" w:ascii="宋体" w:hAnsi="宋体" w:cs="宋体"/>
                <w:kern w:val="0"/>
                <w:sz w:val="22"/>
                <w:lang w:bidi="ar"/>
              </w:rPr>
              <w:t xml:space="preserve"> 预算数：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25F8">
            <w:pPr>
              <w:widowControl/>
              <w:spacing w:line="320" w:lineRule="exact"/>
              <w:jc w:val="left"/>
              <w:textAlignment w:val="center"/>
              <w:rPr>
                <w:rFonts w:ascii="宋体" w:hAnsi="宋体" w:cs="宋体"/>
                <w:sz w:val="22"/>
              </w:rPr>
            </w:pPr>
            <w:r>
              <w:rPr>
                <w:rFonts w:hint="eastAsia" w:ascii="宋体" w:hAnsi="宋体" w:cs="宋体"/>
                <w:sz w:val="22"/>
              </w:rPr>
              <w:t>1667.84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9F76">
            <w:pPr>
              <w:widowControl/>
              <w:spacing w:line="320" w:lineRule="exact"/>
              <w:jc w:val="left"/>
              <w:textAlignment w:val="center"/>
              <w:rPr>
                <w:rFonts w:ascii="宋体" w:hAnsi="宋体" w:cs="宋体"/>
                <w:sz w:val="22"/>
              </w:rPr>
            </w:pPr>
            <w:r>
              <w:rPr>
                <w:rFonts w:hint="eastAsia" w:ascii="宋体" w:hAnsi="宋体" w:cs="宋体"/>
                <w:kern w:val="0"/>
                <w:sz w:val="22"/>
                <w:lang w:bidi="ar"/>
              </w:rPr>
              <w:t xml:space="preserve"> 执行数：</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995C">
            <w:pPr>
              <w:widowControl/>
              <w:spacing w:line="320" w:lineRule="exact"/>
              <w:jc w:val="right"/>
              <w:textAlignment w:val="center"/>
              <w:rPr>
                <w:rFonts w:ascii="宋体" w:hAnsi="宋体" w:cs="宋体"/>
                <w:sz w:val="22"/>
              </w:rPr>
            </w:pPr>
            <w:r>
              <w:rPr>
                <w:rFonts w:hint="eastAsia" w:ascii="宋体" w:hAnsi="宋体" w:cs="宋体"/>
                <w:sz w:val="22"/>
              </w:rPr>
              <w:t>1649.51</w:t>
            </w:r>
          </w:p>
        </w:tc>
      </w:tr>
      <w:tr w14:paraId="4538AB25">
        <w:tblPrEx>
          <w:tblCellMar>
            <w:top w:w="0" w:type="dxa"/>
            <w:left w:w="108" w:type="dxa"/>
            <w:bottom w:w="0" w:type="dxa"/>
            <w:right w:w="108" w:type="dxa"/>
          </w:tblCellMar>
        </w:tblPrEx>
        <w:trPr>
          <w:gridAfter w:val="1"/>
          <w:wAfter w:w="236" w:type="dxa"/>
          <w:trHeight w:val="555"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E6C3">
            <w:pPr>
              <w:spacing w:line="320" w:lineRule="exact"/>
              <w:jc w:val="center"/>
              <w:rPr>
                <w:rFonts w:ascii="宋体" w:hAnsi="宋体" w:cs="宋体"/>
                <w:sz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3C584">
            <w:pPr>
              <w:widowControl/>
              <w:spacing w:line="320" w:lineRule="exact"/>
              <w:jc w:val="left"/>
              <w:textAlignment w:val="center"/>
              <w:rPr>
                <w:rFonts w:ascii="宋体" w:hAnsi="宋体" w:cs="宋体"/>
                <w:kern w:val="0"/>
                <w:sz w:val="22"/>
                <w:lang w:bidi="ar"/>
              </w:rPr>
            </w:pPr>
            <w:r>
              <w:rPr>
                <w:rFonts w:hint="eastAsia" w:ascii="宋体" w:hAnsi="宋体" w:cs="宋体"/>
                <w:kern w:val="0"/>
                <w:sz w:val="22"/>
                <w:lang w:bidi="ar"/>
              </w:rPr>
              <w:t>其中：</w:t>
            </w:r>
          </w:p>
          <w:p w14:paraId="62F3BA8C">
            <w:pPr>
              <w:widowControl/>
              <w:spacing w:line="320" w:lineRule="exact"/>
              <w:jc w:val="left"/>
              <w:textAlignment w:val="center"/>
              <w:rPr>
                <w:rFonts w:ascii="宋体" w:hAnsi="宋体" w:cs="宋体"/>
                <w:sz w:val="22"/>
              </w:rPr>
            </w:pPr>
            <w:r>
              <w:rPr>
                <w:rFonts w:hint="eastAsia" w:ascii="宋体" w:hAnsi="宋体" w:cs="宋体"/>
                <w:kern w:val="0"/>
                <w:sz w:val="22"/>
                <w:lang w:bidi="ar"/>
              </w:rPr>
              <w:t>财政拨款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261">
            <w:pPr>
              <w:widowControl/>
              <w:spacing w:line="320" w:lineRule="exact"/>
              <w:jc w:val="left"/>
              <w:textAlignment w:val="center"/>
              <w:rPr>
                <w:rFonts w:ascii="宋体" w:hAnsi="宋体" w:cs="宋体"/>
                <w:sz w:val="22"/>
              </w:rPr>
            </w:pPr>
            <w:r>
              <w:rPr>
                <w:rFonts w:hint="eastAsia" w:ascii="宋体" w:hAnsi="宋体" w:cs="宋体"/>
                <w:sz w:val="22"/>
              </w:rPr>
              <w:t>1667.84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F081">
            <w:pPr>
              <w:widowControl/>
              <w:spacing w:line="320" w:lineRule="exact"/>
              <w:jc w:val="left"/>
              <w:textAlignment w:val="center"/>
              <w:rPr>
                <w:rFonts w:ascii="宋体" w:hAnsi="宋体" w:cs="宋体"/>
                <w:kern w:val="0"/>
                <w:sz w:val="22"/>
                <w:lang w:bidi="ar"/>
              </w:rPr>
            </w:pPr>
            <w:r>
              <w:rPr>
                <w:rFonts w:hint="eastAsia" w:ascii="宋体" w:hAnsi="宋体" w:cs="宋体"/>
                <w:kern w:val="0"/>
                <w:sz w:val="22"/>
                <w:lang w:bidi="ar"/>
              </w:rPr>
              <w:t>其中：</w:t>
            </w:r>
          </w:p>
          <w:p w14:paraId="3447551E">
            <w:pPr>
              <w:widowControl/>
              <w:spacing w:line="320" w:lineRule="exact"/>
              <w:jc w:val="left"/>
              <w:textAlignment w:val="center"/>
              <w:rPr>
                <w:rFonts w:ascii="宋体" w:hAnsi="宋体" w:cs="宋体"/>
                <w:sz w:val="22"/>
              </w:rPr>
            </w:pPr>
            <w:r>
              <w:rPr>
                <w:rFonts w:hint="eastAsia" w:ascii="宋体" w:hAnsi="宋体" w:cs="宋体"/>
                <w:kern w:val="0"/>
                <w:sz w:val="22"/>
                <w:lang w:bidi="ar"/>
              </w:rPr>
              <w:t>财政拨款</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6527">
            <w:pPr>
              <w:widowControl/>
              <w:spacing w:line="320" w:lineRule="exact"/>
              <w:jc w:val="right"/>
              <w:textAlignment w:val="center"/>
              <w:rPr>
                <w:rFonts w:ascii="宋体" w:hAnsi="宋体" w:cs="宋体"/>
                <w:sz w:val="22"/>
              </w:rPr>
            </w:pPr>
            <w:r>
              <w:rPr>
                <w:rFonts w:hint="eastAsia" w:ascii="宋体" w:hAnsi="宋体" w:cs="宋体"/>
                <w:sz w:val="22"/>
              </w:rPr>
              <w:t>1649.51</w:t>
            </w:r>
          </w:p>
        </w:tc>
      </w:tr>
      <w:tr w14:paraId="1CE970CD">
        <w:tblPrEx>
          <w:tblCellMar>
            <w:top w:w="0" w:type="dxa"/>
            <w:left w:w="108" w:type="dxa"/>
            <w:bottom w:w="0" w:type="dxa"/>
            <w:right w:w="108" w:type="dxa"/>
          </w:tblCellMar>
        </w:tblPrEx>
        <w:trPr>
          <w:gridAfter w:val="1"/>
          <w:wAfter w:w="236" w:type="dxa"/>
          <w:trHeight w:val="341" w:hRule="atLeast"/>
        </w:trPr>
        <w:tc>
          <w:tcPr>
            <w:tcW w:w="19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504C">
            <w:pPr>
              <w:spacing w:line="320" w:lineRule="exact"/>
              <w:jc w:val="center"/>
              <w:rPr>
                <w:rFonts w:ascii="宋体" w:hAnsi="宋体" w:cs="宋体"/>
                <w:sz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C1E6F">
            <w:pPr>
              <w:widowControl/>
              <w:spacing w:line="320" w:lineRule="exact"/>
              <w:jc w:val="left"/>
              <w:textAlignment w:val="center"/>
              <w:rPr>
                <w:rFonts w:ascii="宋体" w:hAnsi="宋体" w:cs="宋体"/>
                <w:sz w:val="22"/>
              </w:rPr>
            </w:pPr>
            <w:r>
              <w:rPr>
                <w:rFonts w:hint="eastAsia" w:ascii="宋体" w:hAnsi="宋体" w:cs="宋体"/>
                <w:kern w:val="0"/>
                <w:sz w:val="22"/>
                <w:lang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78C">
            <w:pPr>
              <w:widowControl/>
              <w:spacing w:line="320" w:lineRule="exact"/>
              <w:jc w:val="left"/>
              <w:textAlignment w:val="center"/>
              <w:rPr>
                <w:rFonts w:ascii="宋体" w:hAnsi="宋体" w:cs="宋体"/>
                <w:sz w:val="22"/>
              </w:rPr>
            </w:pPr>
            <w:r>
              <w:rPr>
                <w:rFonts w:hint="eastAsia" w:ascii="宋体" w:hAnsi="宋体" w:cs="宋体"/>
                <w:sz w:val="22"/>
              </w:rPr>
              <w:t>0.00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92B0">
            <w:pPr>
              <w:widowControl/>
              <w:spacing w:line="320" w:lineRule="exact"/>
              <w:jc w:val="left"/>
              <w:textAlignment w:val="center"/>
              <w:rPr>
                <w:rFonts w:ascii="宋体" w:hAnsi="宋体" w:cs="宋体"/>
                <w:sz w:val="22"/>
              </w:rPr>
            </w:pPr>
            <w:r>
              <w:rPr>
                <w:rFonts w:hint="eastAsia" w:ascii="宋体" w:hAnsi="宋体" w:cs="宋体"/>
                <w:kern w:val="0"/>
                <w:sz w:val="22"/>
                <w:lang w:bidi="ar"/>
              </w:rPr>
              <w:t>其他资金</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B8F5">
            <w:pPr>
              <w:widowControl/>
              <w:spacing w:line="320" w:lineRule="exact"/>
              <w:jc w:val="right"/>
              <w:textAlignment w:val="center"/>
              <w:rPr>
                <w:rFonts w:ascii="宋体" w:hAnsi="宋体" w:cs="宋体"/>
                <w:sz w:val="22"/>
              </w:rPr>
            </w:pPr>
            <w:r>
              <w:rPr>
                <w:rFonts w:hint="eastAsia" w:ascii="宋体" w:hAnsi="宋体" w:cs="宋体"/>
                <w:sz w:val="22"/>
              </w:rPr>
              <w:t>0.00</w:t>
            </w:r>
          </w:p>
        </w:tc>
      </w:tr>
      <w:tr w14:paraId="0FB5970E">
        <w:tblPrEx>
          <w:tblCellMar>
            <w:top w:w="0" w:type="dxa"/>
            <w:left w:w="108" w:type="dxa"/>
            <w:bottom w:w="0" w:type="dxa"/>
            <w:right w:w="108" w:type="dxa"/>
          </w:tblCellMar>
        </w:tblPrEx>
        <w:trPr>
          <w:gridAfter w:val="1"/>
          <w:wAfter w:w="236" w:type="dxa"/>
          <w:trHeight w:val="217"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1E7E5">
            <w:pPr>
              <w:widowControl/>
              <w:spacing w:line="320" w:lineRule="exact"/>
              <w:jc w:val="center"/>
              <w:textAlignment w:val="center"/>
              <w:rPr>
                <w:rFonts w:ascii="宋体" w:hAnsi="宋体" w:cs="宋体"/>
                <w:kern w:val="0"/>
                <w:sz w:val="22"/>
                <w:lang w:bidi="ar"/>
              </w:rPr>
            </w:pPr>
            <w:r>
              <w:rPr>
                <w:rFonts w:hint="eastAsia" w:ascii="宋体" w:hAnsi="宋体" w:cs="宋体"/>
                <w:kern w:val="0"/>
                <w:sz w:val="22"/>
                <w:lang w:bidi="ar"/>
              </w:rPr>
              <w:t>年度总体目标</w:t>
            </w:r>
          </w:p>
          <w:p w14:paraId="4CA052D9">
            <w:pPr>
              <w:widowControl/>
              <w:spacing w:line="320" w:lineRule="exact"/>
              <w:jc w:val="center"/>
              <w:textAlignment w:val="center"/>
              <w:rPr>
                <w:rFonts w:ascii="宋体" w:hAnsi="宋体" w:cs="宋体"/>
                <w:sz w:val="22"/>
              </w:rPr>
            </w:pPr>
            <w:r>
              <w:rPr>
                <w:rFonts w:hint="eastAsia" w:ascii="宋体" w:hAnsi="宋体" w:cs="宋体"/>
                <w:kern w:val="0"/>
                <w:sz w:val="22"/>
                <w:lang w:bidi="ar"/>
              </w:rPr>
              <w:t>完成情况</w:t>
            </w:r>
          </w:p>
        </w:tc>
        <w:tc>
          <w:tcPr>
            <w:tcW w:w="4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D3982">
            <w:pPr>
              <w:widowControl/>
              <w:spacing w:line="320" w:lineRule="exact"/>
              <w:jc w:val="center"/>
              <w:textAlignment w:val="center"/>
              <w:rPr>
                <w:rFonts w:ascii="宋体" w:hAnsi="宋体" w:cs="宋体"/>
                <w:sz w:val="22"/>
              </w:rPr>
            </w:pPr>
            <w:r>
              <w:rPr>
                <w:rFonts w:hint="eastAsia" w:ascii="宋体" w:hAnsi="宋体" w:cs="宋体"/>
                <w:kern w:val="0"/>
                <w:sz w:val="22"/>
                <w:lang w:bidi="ar"/>
              </w:rPr>
              <w:t>预期目标</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E452A">
            <w:pPr>
              <w:widowControl/>
              <w:spacing w:line="320" w:lineRule="exact"/>
              <w:jc w:val="center"/>
              <w:textAlignment w:val="center"/>
              <w:rPr>
                <w:rFonts w:ascii="宋体" w:hAnsi="宋体" w:cs="宋体"/>
                <w:sz w:val="22"/>
              </w:rPr>
            </w:pPr>
            <w:r>
              <w:rPr>
                <w:rFonts w:hint="eastAsia" w:ascii="宋体" w:hAnsi="宋体" w:cs="宋体"/>
                <w:kern w:val="0"/>
                <w:sz w:val="22"/>
                <w:lang w:bidi="ar"/>
              </w:rPr>
              <w:t>目标实际完成情况</w:t>
            </w:r>
          </w:p>
        </w:tc>
      </w:tr>
      <w:tr w14:paraId="32387B06">
        <w:tblPrEx>
          <w:tblCellMar>
            <w:top w:w="0" w:type="dxa"/>
            <w:left w:w="108" w:type="dxa"/>
            <w:bottom w:w="0" w:type="dxa"/>
            <w:right w:w="108" w:type="dxa"/>
          </w:tblCellMar>
        </w:tblPrEx>
        <w:trPr>
          <w:gridAfter w:val="1"/>
          <w:wAfter w:w="236" w:type="dxa"/>
          <w:trHeight w:val="797"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4445">
            <w:pPr>
              <w:spacing w:line="320" w:lineRule="exact"/>
              <w:jc w:val="center"/>
              <w:rPr>
                <w:rFonts w:ascii="宋体" w:hAnsi="宋体" w:cs="宋体"/>
                <w:sz w:val="22"/>
              </w:rPr>
            </w:pPr>
          </w:p>
        </w:tc>
        <w:tc>
          <w:tcPr>
            <w:tcW w:w="46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B9758">
            <w:pPr>
              <w:widowControl/>
              <w:spacing w:line="320" w:lineRule="exact"/>
              <w:jc w:val="center"/>
              <w:textAlignment w:val="top"/>
              <w:rPr>
                <w:rFonts w:ascii="宋体" w:hAnsi="宋体" w:cs="宋体"/>
                <w:sz w:val="22"/>
              </w:rPr>
            </w:pPr>
            <w:r>
              <w:t>在校学生均享受免学费，符合条件的学生均享受助学金补助。</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4765A">
            <w:pPr>
              <w:widowControl/>
              <w:spacing w:line="320" w:lineRule="exact"/>
              <w:jc w:val="center"/>
              <w:textAlignment w:val="top"/>
              <w:rPr>
                <w:rFonts w:ascii="宋体" w:hAnsi="宋体" w:cs="宋体"/>
                <w:sz w:val="22"/>
              </w:rPr>
            </w:pPr>
            <w:r>
              <w:t>在校学生均享受免学费，符合条件的学生均已享受助学金补助。</w:t>
            </w:r>
          </w:p>
        </w:tc>
      </w:tr>
      <w:tr w14:paraId="5517D2E4">
        <w:tblPrEx>
          <w:tblCellMar>
            <w:top w:w="0" w:type="dxa"/>
            <w:left w:w="108" w:type="dxa"/>
            <w:bottom w:w="0" w:type="dxa"/>
            <w:right w:w="108" w:type="dxa"/>
          </w:tblCellMar>
        </w:tblPrEx>
        <w:trPr>
          <w:gridAfter w:val="1"/>
          <w:wAfter w:w="236" w:type="dxa"/>
          <w:trHeight w:val="693" w:hRule="atLeast"/>
        </w:trPr>
        <w:tc>
          <w:tcPr>
            <w:tcW w:w="817" w:type="dxa"/>
            <w:vMerge w:val="restart"/>
            <w:tcBorders>
              <w:top w:val="single" w:color="000000" w:sz="4" w:space="0"/>
              <w:left w:val="single" w:color="000000" w:sz="4" w:space="0"/>
              <w:right w:val="single" w:color="000000" w:sz="4" w:space="0"/>
            </w:tcBorders>
            <w:shd w:val="clear" w:color="auto" w:fill="auto"/>
            <w:vAlign w:val="center"/>
          </w:tcPr>
          <w:p w14:paraId="1D542197">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年度绩效指标完成情况</w:t>
            </w:r>
          </w:p>
        </w:tc>
        <w:tc>
          <w:tcPr>
            <w:tcW w:w="992" w:type="dxa"/>
            <w:tcBorders>
              <w:top w:val="single" w:color="000000" w:sz="4" w:space="0"/>
              <w:left w:val="nil"/>
              <w:bottom w:val="single" w:color="000000" w:sz="4" w:space="0"/>
              <w:right w:val="single" w:color="000000" w:sz="4" w:space="0"/>
            </w:tcBorders>
            <w:shd w:val="clear" w:color="auto" w:fill="auto"/>
            <w:vAlign w:val="center"/>
          </w:tcPr>
          <w:p w14:paraId="479E99BF">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一级指标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BEE08">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二级指标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75ACE">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三级指标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33A2">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预期指标值</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7349">
            <w:pPr>
              <w:widowControl/>
              <w:spacing w:line="320" w:lineRule="exact"/>
              <w:jc w:val="center"/>
              <w:textAlignment w:val="center"/>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实际完成指标值</w:t>
            </w:r>
          </w:p>
        </w:tc>
      </w:tr>
      <w:tr w14:paraId="710F6EC4">
        <w:tblPrEx>
          <w:tblCellMar>
            <w:top w:w="0" w:type="dxa"/>
            <w:left w:w="108" w:type="dxa"/>
            <w:bottom w:w="0" w:type="dxa"/>
            <w:right w:w="108" w:type="dxa"/>
          </w:tblCellMar>
        </w:tblPrEx>
        <w:trPr>
          <w:gridAfter w:val="1"/>
          <w:wAfter w:w="236" w:type="dxa"/>
          <w:trHeight w:val="746" w:hRule="atLeast"/>
        </w:trPr>
        <w:tc>
          <w:tcPr>
            <w:tcW w:w="817" w:type="dxa"/>
            <w:vMerge w:val="continue"/>
            <w:tcBorders>
              <w:left w:val="single" w:color="000000" w:sz="4" w:space="0"/>
              <w:right w:val="single" w:color="000000" w:sz="4" w:space="0"/>
            </w:tcBorders>
            <w:shd w:val="clear" w:color="auto" w:fill="auto"/>
            <w:vAlign w:val="center"/>
          </w:tcPr>
          <w:p w14:paraId="2F08297D">
            <w:pPr>
              <w:spacing w:line="320" w:lineRule="exact"/>
              <w:jc w:val="center"/>
              <w:rPr>
                <w:rFonts w:ascii="仿宋_GB2312" w:hAnsi="仿宋_GB2312" w:eastAsia="仿宋_GB2312" w:cs="仿宋_GB2312"/>
                <w:sz w:val="28"/>
                <w:szCs w:val="28"/>
              </w:rPr>
            </w:pPr>
          </w:p>
        </w:tc>
        <w:tc>
          <w:tcPr>
            <w:tcW w:w="992" w:type="dxa"/>
            <w:vMerge w:val="restart"/>
            <w:tcBorders>
              <w:top w:val="single" w:color="000000" w:sz="4" w:space="0"/>
              <w:left w:val="single" w:color="000000" w:sz="4" w:space="0"/>
              <w:right w:val="single" w:color="000000" w:sz="4" w:space="0"/>
            </w:tcBorders>
            <w:shd w:val="clear" w:color="auto" w:fill="auto"/>
            <w:vAlign w:val="center"/>
          </w:tcPr>
          <w:p w14:paraId="4C20B259">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完成指标</w:t>
            </w:r>
          </w:p>
        </w:tc>
        <w:tc>
          <w:tcPr>
            <w:tcW w:w="1276" w:type="dxa"/>
            <w:gridSpan w:val="2"/>
            <w:tcBorders>
              <w:top w:val="single" w:color="000000" w:sz="4" w:space="0"/>
              <w:left w:val="single" w:color="000000" w:sz="4" w:space="0"/>
              <w:right w:val="single" w:color="000000" w:sz="4" w:space="0"/>
            </w:tcBorders>
            <w:shd w:val="clear" w:color="auto" w:fill="auto"/>
            <w:vAlign w:val="center"/>
          </w:tcPr>
          <w:p w14:paraId="7D7A7363">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数量指标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AEC6">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中职免学费应受助学生数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88D4">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5500</w:t>
            </w:r>
            <w:r>
              <w:rPr>
                <w:rFonts w:hint="eastAsia" w:ascii="仿宋_GB2312" w:hAnsi="仿宋_GB2312" w:eastAsia="仿宋_GB2312" w:cs="仿宋_GB2312"/>
                <w:kern w:val="0"/>
                <w:sz w:val="22"/>
                <w:szCs w:val="28"/>
                <w:lang w:bidi="ar"/>
              </w:rPr>
              <w:t>人</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556B">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6413</w:t>
            </w:r>
            <w:r>
              <w:rPr>
                <w:rFonts w:hint="eastAsia" w:ascii="仿宋_GB2312" w:hAnsi="仿宋_GB2312" w:eastAsia="仿宋_GB2312" w:cs="仿宋_GB2312"/>
                <w:kern w:val="0"/>
                <w:sz w:val="22"/>
                <w:szCs w:val="28"/>
                <w:lang w:bidi="ar"/>
              </w:rPr>
              <w:t>人</w:t>
            </w:r>
          </w:p>
        </w:tc>
      </w:tr>
      <w:tr w14:paraId="0364C537">
        <w:tblPrEx>
          <w:tblCellMar>
            <w:top w:w="0" w:type="dxa"/>
            <w:left w:w="108" w:type="dxa"/>
            <w:bottom w:w="0" w:type="dxa"/>
            <w:right w:w="108" w:type="dxa"/>
          </w:tblCellMar>
        </w:tblPrEx>
        <w:trPr>
          <w:gridAfter w:val="1"/>
          <w:wAfter w:w="236" w:type="dxa"/>
          <w:trHeight w:val="670" w:hRule="atLeast"/>
        </w:trPr>
        <w:tc>
          <w:tcPr>
            <w:tcW w:w="817" w:type="dxa"/>
            <w:vMerge w:val="continue"/>
            <w:tcBorders>
              <w:left w:val="single" w:color="000000" w:sz="4" w:space="0"/>
              <w:right w:val="single" w:color="000000" w:sz="4" w:space="0"/>
            </w:tcBorders>
            <w:shd w:val="clear" w:color="auto" w:fill="auto"/>
            <w:vAlign w:val="center"/>
          </w:tcPr>
          <w:p w14:paraId="53A61FFB">
            <w:pPr>
              <w:spacing w:line="320" w:lineRule="exact"/>
              <w:jc w:val="center"/>
              <w:rPr>
                <w:rFonts w:ascii="仿宋_GB2312" w:hAnsi="仿宋_GB2312" w:eastAsia="仿宋_GB2312" w:cs="仿宋_GB2312"/>
                <w:sz w:val="28"/>
                <w:szCs w:val="28"/>
              </w:rPr>
            </w:pPr>
          </w:p>
        </w:tc>
        <w:tc>
          <w:tcPr>
            <w:tcW w:w="992" w:type="dxa"/>
            <w:vMerge w:val="continue"/>
            <w:tcBorders>
              <w:left w:val="single" w:color="000000" w:sz="4" w:space="0"/>
              <w:right w:val="single" w:color="000000" w:sz="4" w:space="0"/>
            </w:tcBorders>
            <w:shd w:val="clear" w:color="auto" w:fill="auto"/>
            <w:vAlign w:val="bottom"/>
          </w:tcPr>
          <w:p w14:paraId="6172479C">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78CD1">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质量指标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4FF51">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奖助学金按规定及时发放率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3E4">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大于 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AC0E">
            <w:pPr>
              <w:widowControl/>
              <w:spacing w:line="320" w:lineRule="exact"/>
              <w:jc w:val="center"/>
              <w:textAlignment w:val="bottom"/>
              <w:rPr>
                <w:rFonts w:ascii="仿宋_GB2312" w:hAnsi="仿宋_GB2312" w:eastAsia="仿宋_GB2312" w:cs="仿宋_GB2312"/>
                <w:kern w:val="0"/>
                <w:sz w:val="22"/>
                <w:szCs w:val="28"/>
                <w:lang w:bidi="ar"/>
              </w:rPr>
            </w:pPr>
            <w:r>
              <w:rPr>
                <w:rFonts w:hint="eastAsia" w:ascii="仿宋_GB2312" w:hAnsi="仿宋_GB2312" w:eastAsia="仿宋_GB2312" w:cs="仿宋_GB2312"/>
                <w:kern w:val="0"/>
                <w:sz w:val="22"/>
                <w:szCs w:val="28"/>
                <w:lang w:bidi="ar"/>
              </w:rPr>
              <w:t>100%</w:t>
            </w:r>
          </w:p>
        </w:tc>
      </w:tr>
      <w:tr w14:paraId="68E41513">
        <w:tblPrEx>
          <w:tblCellMar>
            <w:top w:w="0" w:type="dxa"/>
            <w:left w:w="108" w:type="dxa"/>
            <w:bottom w:w="0" w:type="dxa"/>
            <w:right w:w="108" w:type="dxa"/>
          </w:tblCellMar>
        </w:tblPrEx>
        <w:trPr>
          <w:gridAfter w:val="1"/>
          <w:wAfter w:w="236" w:type="dxa"/>
          <w:trHeight w:val="594" w:hRule="atLeast"/>
        </w:trPr>
        <w:tc>
          <w:tcPr>
            <w:tcW w:w="817" w:type="dxa"/>
            <w:vMerge w:val="continue"/>
            <w:tcBorders>
              <w:left w:val="single" w:color="000000" w:sz="4" w:space="0"/>
              <w:right w:val="single" w:color="000000" w:sz="4" w:space="0"/>
            </w:tcBorders>
            <w:shd w:val="clear" w:color="auto" w:fill="auto"/>
            <w:vAlign w:val="center"/>
          </w:tcPr>
          <w:p w14:paraId="4F0CE743">
            <w:pPr>
              <w:spacing w:line="320" w:lineRule="exact"/>
              <w:jc w:val="center"/>
              <w:rPr>
                <w:rFonts w:ascii="仿宋_GB2312" w:hAnsi="仿宋_GB2312" w:eastAsia="仿宋_GB2312" w:cs="仿宋_GB2312"/>
                <w:sz w:val="28"/>
                <w:szCs w:val="28"/>
              </w:rPr>
            </w:pPr>
          </w:p>
        </w:tc>
        <w:tc>
          <w:tcPr>
            <w:tcW w:w="992" w:type="dxa"/>
            <w:vMerge w:val="continue"/>
            <w:tcBorders>
              <w:left w:val="single" w:color="000000" w:sz="4" w:space="0"/>
              <w:right w:val="single" w:color="000000" w:sz="4" w:space="0"/>
            </w:tcBorders>
            <w:shd w:val="clear" w:color="auto" w:fill="auto"/>
            <w:vAlign w:val="bottom"/>
          </w:tcPr>
          <w:p w14:paraId="111A0123">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FA0C4">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时效指标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96C07">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发放完成时间</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E360">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年底前全部完成</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F50">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年底前全部完成</w:t>
            </w:r>
          </w:p>
        </w:tc>
      </w:tr>
      <w:tr w14:paraId="1D8CECC7">
        <w:tblPrEx>
          <w:tblCellMar>
            <w:top w:w="0" w:type="dxa"/>
            <w:left w:w="108" w:type="dxa"/>
            <w:bottom w:w="0" w:type="dxa"/>
            <w:right w:w="108" w:type="dxa"/>
          </w:tblCellMar>
        </w:tblPrEx>
        <w:trPr>
          <w:gridAfter w:val="1"/>
          <w:wAfter w:w="236" w:type="dxa"/>
          <w:trHeight w:val="516" w:hRule="atLeast"/>
        </w:trPr>
        <w:tc>
          <w:tcPr>
            <w:tcW w:w="817" w:type="dxa"/>
            <w:vMerge w:val="continue"/>
            <w:tcBorders>
              <w:left w:val="single" w:color="000000" w:sz="4" w:space="0"/>
              <w:right w:val="single" w:color="000000" w:sz="4" w:space="0"/>
            </w:tcBorders>
            <w:shd w:val="clear" w:color="auto" w:fill="auto"/>
            <w:vAlign w:val="center"/>
          </w:tcPr>
          <w:p w14:paraId="2836860F">
            <w:pPr>
              <w:spacing w:line="320" w:lineRule="exact"/>
              <w:jc w:val="center"/>
              <w:rPr>
                <w:rFonts w:ascii="仿宋_GB2312" w:hAnsi="仿宋_GB2312" w:eastAsia="仿宋_GB2312" w:cs="仿宋_GB2312"/>
                <w:sz w:val="28"/>
                <w:szCs w:val="28"/>
              </w:rPr>
            </w:pPr>
          </w:p>
        </w:tc>
        <w:tc>
          <w:tcPr>
            <w:tcW w:w="992" w:type="dxa"/>
            <w:vMerge w:val="continue"/>
            <w:tcBorders>
              <w:left w:val="single" w:color="000000" w:sz="4" w:space="0"/>
              <w:bottom w:val="single" w:color="000000" w:sz="4" w:space="0"/>
              <w:right w:val="single" w:color="000000" w:sz="4" w:space="0"/>
            </w:tcBorders>
            <w:shd w:val="clear" w:color="auto" w:fill="auto"/>
            <w:vAlign w:val="bottom"/>
          </w:tcPr>
          <w:p w14:paraId="6007A5F8">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906F">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成本指标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2B283">
            <w:pPr>
              <w:widowControl/>
              <w:spacing w:line="320" w:lineRule="exact"/>
              <w:jc w:val="center"/>
              <w:textAlignment w:val="bottom"/>
              <w:rPr>
                <w:rFonts w:ascii="仿宋_GB2312" w:hAnsi="仿宋_GB2312" w:eastAsia="仿宋_GB2312" w:cs="仿宋_GB2312"/>
                <w:kern w:val="0"/>
                <w:sz w:val="22"/>
                <w:szCs w:val="28"/>
                <w:lang w:bidi="ar"/>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3A61">
            <w:pPr>
              <w:widowControl/>
              <w:spacing w:line="320" w:lineRule="exact"/>
              <w:jc w:val="center"/>
              <w:textAlignment w:val="bottom"/>
              <w:rPr>
                <w:rFonts w:ascii="仿宋_GB2312" w:hAnsi="仿宋_GB2312" w:eastAsia="仿宋_GB2312" w:cs="仿宋_GB2312"/>
                <w:kern w:val="0"/>
                <w:sz w:val="22"/>
                <w:szCs w:val="28"/>
                <w:lang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F403">
            <w:pPr>
              <w:widowControl/>
              <w:spacing w:line="320" w:lineRule="exact"/>
              <w:jc w:val="center"/>
              <w:textAlignment w:val="bottom"/>
              <w:rPr>
                <w:rFonts w:ascii="仿宋_GB2312" w:hAnsi="仿宋_GB2312" w:eastAsia="仿宋_GB2312" w:cs="仿宋_GB2312"/>
                <w:kern w:val="0"/>
                <w:sz w:val="22"/>
                <w:szCs w:val="28"/>
                <w:lang w:bidi="ar"/>
              </w:rPr>
            </w:pPr>
          </w:p>
        </w:tc>
      </w:tr>
      <w:tr w14:paraId="6C7C73ED">
        <w:tblPrEx>
          <w:tblCellMar>
            <w:top w:w="0" w:type="dxa"/>
            <w:left w:w="108" w:type="dxa"/>
            <w:bottom w:w="0" w:type="dxa"/>
            <w:right w:w="108" w:type="dxa"/>
          </w:tblCellMar>
        </w:tblPrEx>
        <w:trPr>
          <w:gridAfter w:val="1"/>
          <w:wAfter w:w="236" w:type="dxa"/>
          <w:trHeight w:val="726" w:hRule="atLeast"/>
        </w:trPr>
        <w:tc>
          <w:tcPr>
            <w:tcW w:w="817" w:type="dxa"/>
            <w:vMerge w:val="continue"/>
            <w:tcBorders>
              <w:left w:val="single" w:color="000000" w:sz="4" w:space="0"/>
              <w:right w:val="single" w:color="000000" w:sz="4" w:space="0"/>
            </w:tcBorders>
            <w:shd w:val="clear" w:color="auto" w:fill="auto"/>
            <w:vAlign w:val="center"/>
          </w:tcPr>
          <w:p w14:paraId="50638D28">
            <w:pPr>
              <w:spacing w:line="320" w:lineRule="exact"/>
              <w:jc w:val="center"/>
              <w:rPr>
                <w:rFonts w:ascii="仿宋_GB2312" w:hAnsi="仿宋_GB2312" w:eastAsia="仿宋_GB2312" w:cs="仿宋_GB2312"/>
                <w:sz w:val="28"/>
                <w:szCs w:val="28"/>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19E31">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效益指标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496CB">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经济效益  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E4BEF">
            <w:pPr>
              <w:widowControl/>
              <w:spacing w:line="320" w:lineRule="exact"/>
              <w:jc w:val="center"/>
              <w:textAlignment w:val="bottom"/>
              <w:rPr>
                <w:rFonts w:ascii="仿宋_GB2312" w:hAnsi="仿宋_GB2312" w:eastAsia="仿宋_GB2312" w:cs="仿宋_GB2312"/>
                <w:kern w:val="0"/>
                <w:sz w:val="22"/>
                <w:szCs w:val="28"/>
                <w:lang w:bidi="ar"/>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9C8">
            <w:pPr>
              <w:widowControl/>
              <w:spacing w:line="320" w:lineRule="exact"/>
              <w:jc w:val="center"/>
              <w:textAlignment w:val="bottom"/>
              <w:rPr>
                <w:rFonts w:ascii="仿宋_GB2312" w:hAnsi="仿宋_GB2312" w:eastAsia="仿宋_GB2312" w:cs="仿宋_GB2312"/>
                <w:kern w:val="0"/>
                <w:sz w:val="22"/>
                <w:szCs w:val="28"/>
                <w:lang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CD30">
            <w:pPr>
              <w:widowControl/>
              <w:spacing w:line="320" w:lineRule="exact"/>
              <w:jc w:val="center"/>
              <w:textAlignment w:val="bottom"/>
              <w:rPr>
                <w:rFonts w:ascii="仿宋_GB2312" w:hAnsi="仿宋_GB2312" w:eastAsia="仿宋_GB2312" w:cs="仿宋_GB2312"/>
                <w:kern w:val="0"/>
                <w:sz w:val="22"/>
                <w:szCs w:val="28"/>
                <w:lang w:bidi="ar"/>
              </w:rPr>
            </w:pPr>
          </w:p>
        </w:tc>
      </w:tr>
      <w:tr w14:paraId="0B8B4579">
        <w:tblPrEx>
          <w:tblCellMar>
            <w:top w:w="0" w:type="dxa"/>
            <w:left w:w="108" w:type="dxa"/>
            <w:bottom w:w="0" w:type="dxa"/>
            <w:right w:w="108" w:type="dxa"/>
          </w:tblCellMar>
        </w:tblPrEx>
        <w:trPr>
          <w:gridAfter w:val="1"/>
          <w:wAfter w:w="236" w:type="dxa"/>
          <w:trHeight w:val="708" w:hRule="atLeast"/>
        </w:trPr>
        <w:tc>
          <w:tcPr>
            <w:tcW w:w="817" w:type="dxa"/>
            <w:vMerge w:val="continue"/>
            <w:tcBorders>
              <w:left w:val="single" w:color="000000" w:sz="4" w:space="0"/>
              <w:right w:val="single" w:color="000000" w:sz="4" w:space="0"/>
            </w:tcBorders>
            <w:shd w:val="clear" w:color="auto" w:fill="auto"/>
            <w:vAlign w:val="center"/>
          </w:tcPr>
          <w:p w14:paraId="3A25A721">
            <w:pPr>
              <w:spacing w:line="320" w:lineRule="exact"/>
              <w:jc w:val="center"/>
              <w:rPr>
                <w:rFonts w:ascii="仿宋_GB2312" w:hAnsi="仿宋_GB2312" w:eastAsia="仿宋_GB2312" w:cs="仿宋_GB2312"/>
                <w:sz w:val="28"/>
                <w:szCs w:val="2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B0CA156">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180DD">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社会效益  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65090">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中职毕业生就业率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E9E7">
            <w:pPr>
              <w:widowControl/>
              <w:spacing w:line="320" w:lineRule="exact"/>
              <w:jc w:val="center"/>
              <w:textAlignment w:val="bottom"/>
              <w:rPr>
                <w:rFonts w:ascii="仿宋_GB2312" w:hAnsi="仿宋_GB2312" w:eastAsia="仿宋_GB2312" w:cs="仿宋_GB2312"/>
                <w:kern w:val="0"/>
                <w:sz w:val="22"/>
                <w:szCs w:val="28"/>
                <w:lang w:bidi="ar"/>
              </w:rPr>
            </w:pPr>
            <w:r>
              <w:rPr>
                <w:rFonts w:ascii="仿宋_GB2312" w:hAnsi="仿宋_GB2312" w:eastAsia="仿宋_GB2312" w:cs="仿宋_GB2312"/>
                <w:kern w:val="0"/>
                <w:sz w:val="22"/>
                <w:szCs w:val="28"/>
                <w:lang w:bidi="ar"/>
              </w:rPr>
              <w:t>大于95%</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7D9">
            <w:pPr>
              <w:widowControl/>
              <w:spacing w:line="320" w:lineRule="exact"/>
              <w:jc w:val="center"/>
              <w:textAlignment w:val="bottom"/>
              <w:rPr>
                <w:rFonts w:ascii="仿宋_GB2312" w:hAnsi="仿宋_GB2312" w:eastAsia="仿宋_GB2312" w:cs="仿宋_GB2312"/>
                <w:kern w:val="0"/>
                <w:sz w:val="22"/>
                <w:szCs w:val="28"/>
                <w:lang w:bidi="ar"/>
              </w:rPr>
            </w:pPr>
            <w:r>
              <w:rPr>
                <w:rFonts w:hint="eastAsia" w:ascii="仿宋_GB2312" w:hAnsi="仿宋_GB2312" w:eastAsia="仿宋_GB2312" w:cs="仿宋_GB2312"/>
                <w:kern w:val="0"/>
                <w:sz w:val="22"/>
                <w:szCs w:val="28"/>
                <w:lang w:bidi="ar"/>
              </w:rPr>
              <w:t>98%</w:t>
            </w:r>
          </w:p>
        </w:tc>
      </w:tr>
      <w:tr w14:paraId="39660771">
        <w:tblPrEx>
          <w:tblCellMar>
            <w:top w:w="0" w:type="dxa"/>
            <w:left w:w="108" w:type="dxa"/>
            <w:bottom w:w="0" w:type="dxa"/>
            <w:right w:w="108" w:type="dxa"/>
          </w:tblCellMar>
        </w:tblPrEx>
        <w:trPr>
          <w:gridAfter w:val="1"/>
          <w:wAfter w:w="236" w:type="dxa"/>
          <w:trHeight w:val="690" w:hRule="atLeast"/>
        </w:trPr>
        <w:tc>
          <w:tcPr>
            <w:tcW w:w="817" w:type="dxa"/>
            <w:vMerge w:val="continue"/>
            <w:tcBorders>
              <w:left w:val="single" w:color="000000" w:sz="4" w:space="0"/>
              <w:right w:val="single" w:color="000000" w:sz="4" w:space="0"/>
            </w:tcBorders>
            <w:shd w:val="clear" w:color="auto" w:fill="auto"/>
            <w:vAlign w:val="center"/>
          </w:tcPr>
          <w:p w14:paraId="1CD33149">
            <w:pPr>
              <w:spacing w:line="320" w:lineRule="exact"/>
              <w:jc w:val="center"/>
              <w:rPr>
                <w:rFonts w:ascii="仿宋_GB2312" w:hAnsi="仿宋_GB2312" w:eastAsia="仿宋_GB2312" w:cs="仿宋_GB2312"/>
                <w:sz w:val="28"/>
                <w:szCs w:val="2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A8A88B0">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2BB9F">
            <w:pPr>
              <w:widowControl/>
              <w:spacing w:line="320" w:lineRule="exact"/>
              <w:ind w:left="78" w:leftChars="37"/>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生态效益指标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61860">
            <w:pPr>
              <w:widowControl/>
              <w:spacing w:line="320" w:lineRule="exact"/>
              <w:jc w:val="center"/>
              <w:textAlignment w:val="bottom"/>
              <w:rPr>
                <w:rFonts w:ascii="仿宋_GB2312" w:hAnsi="仿宋_GB2312" w:eastAsia="仿宋_GB2312" w:cs="仿宋_GB2312"/>
                <w:kern w:val="0"/>
                <w:sz w:val="22"/>
                <w:szCs w:val="28"/>
                <w:lang w:bidi="ar"/>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6D57">
            <w:pPr>
              <w:widowControl/>
              <w:spacing w:line="320" w:lineRule="exact"/>
              <w:jc w:val="center"/>
              <w:textAlignment w:val="bottom"/>
              <w:rPr>
                <w:rFonts w:ascii="仿宋_GB2312" w:hAnsi="仿宋_GB2312" w:eastAsia="仿宋_GB2312" w:cs="仿宋_GB2312"/>
                <w:kern w:val="0"/>
                <w:sz w:val="22"/>
                <w:szCs w:val="28"/>
                <w:lang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1293">
            <w:pPr>
              <w:widowControl/>
              <w:spacing w:line="320" w:lineRule="exact"/>
              <w:jc w:val="center"/>
              <w:textAlignment w:val="bottom"/>
              <w:rPr>
                <w:rFonts w:ascii="仿宋_GB2312" w:hAnsi="仿宋_GB2312" w:eastAsia="仿宋_GB2312" w:cs="仿宋_GB2312"/>
                <w:kern w:val="0"/>
                <w:sz w:val="22"/>
                <w:szCs w:val="28"/>
                <w:lang w:bidi="ar"/>
              </w:rPr>
            </w:pPr>
          </w:p>
        </w:tc>
      </w:tr>
      <w:tr w14:paraId="6AA16CDE">
        <w:tblPrEx>
          <w:tblCellMar>
            <w:top w:w="0" w:type="dxa"/>
            <w:left w:w="108" w:type="dxa"/>
            <w:bottom w:w="0" w:type="dxa"/>
            <w:right w:w="108" w:type="dxa"/>
          </w:tblCellMar>
        </w:tblPrEx>
        <w:trPr>
          <w:gridAfter w:val="1"/>
          <w:wAfter w:w="236" w:type="dxa"/>
          <w:trHeight w:val="603" w:hRule="atLeast"/>
        </w:trPr>
        <w:tc>
          <w:tcPr>
            <w:tcW w:w="817" w:type="dxa"/>
            <w:vMerge w:val="continue"/>
            <w:tcBorders>
              <w:left w:val="single" w:color="000000" w:sz="4" w:space="0"/>
              <w:right w:val="single" w:color="000000" w:sz="4" w:space="0"/>
            </w:tcBorders>
            <w:shd w:val="clear" w:color="auto" w:fill="auto"/>
            <w:vAlign w:val="center"/>
          </w:tcPr>
          <w:p w14:paraId="0ADF47C9">
            <w:pPr>
              <w:spacing w:line="320" w:lineRule="exact"/>
              <w:jc w:val="center"/>
              <w:rPr>
                <w:rFonts w:ascii="仿宋_GB2312" w:hAnsi="仿宋_GB2312" w:eastAsia="仿宋_GB2312" w:cs="仿宋_GB2312"/>
                <w:sz w:val="28"/>
                <w:szCs w:val="2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4744F33">
            <w:pPr>
              <w:spacing w:line="320" w:lineRule="exact"/>
              <w:jc w:val="center"/>
              <w:rPr>
                <w:rFonts w:ascii="仿宋_GB2312" w:hAnsi="仿宋_GB2312" w:eastAsia="仿宋_GB2312" w:cs="仿宋_GB2312"/>
                <w:kern w:val="0"/>
                <w:sz w:val="24"/>
                <w:szCs w:val="28"/>
                <w:lang w:bidi="ar"/>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3F571">
            <w:pPr>
              <w:widowControl/>
              <w:spacing w:line="320" w:lineRule="exact"/>
              <w:jc w:val="center"/>
              <w:textAlignment w:val="bottom"/>
              <w:rPr>
                <w:rFonts w:ascii="仿宋_GB2312" w:hAnsi="仿宋_GB2312" w:eastAsia="仿宋_GB2312" w:cs="仿宋_GB2312"/>
                <w:sz w:val="24"/>
                <w:szCs w:val="28"/>
              </w:rPr>
            </w:pPr>
            <w:r>
              <w:rPr>
                <w:rFonts w:hint="eastAsia" w:ascii="仿宋_GB2312" w:hAnsi="仿宋_GB2312" w:eastAsia="仿宋_GB2312" w:cs="仿宋_GB2312"/>
                <w:kern w:val="0"/>
                <w:sz w:val="24"/>
                <w:szCs w:val="28"/>
                <w:lang w:bidi="ar"/>
              </w:rPr>
              <w:t>可持续影响指标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E85D3">
            <w:pPr>
              <w:widowControl/>
              <w:spacing w:line="320" w:lineRule="exact"/>
              <w:jc w:val="center"/>
              <w:textAlignment w:val="bottom"/>
              <w:rPr>
                <w:rFonts w:ascii="仿宋_GB2312" w:hAnsi="仿宋_GB2312" w:eastAsia="仿宋_GB2312" w:cs="仿宋_GB2312"/>
                <w:kern w:val="0"/>
                <w:sz w:val="22"/>
                <w:szCs w:val="28"/>
                <w:lang w:bidi="ar"/>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8B09">
            <w:pPr>
              <w:widowControl/>
              <w:spacing w:line="320" w:lineRule="exact"/>
              <w:jc w:val="center"/>
              <w:textAlignment w:val="bottom"/>
              <w:rPr>
                <w:rFonts w:ascii="仿宋_GB2312" w:hAnsi="仿宋_GB2312" w:eastAsia="仿宋_GB2312" w:cs="仿宋_GB2312"/>
                <w:kern w:val="0"/>
                <w:sz w:val="22"/>
                <w:szCs w:val="28"/>
                <w:lang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47E">
            <w:pPr>
              <w:widowControl/>
              <w:spacing w:line="320" w:lineRule="exact"/>
              <w:jc w:val="center"/>
              <w:textAlignment w:val="bottom"/>
              <w:rPr>
                <w:rFonts w:ascii="仿宋_GB2312" w:hAnsi="仿宋_GB2312" w:eastAsia="仿宋_GB2312" w:cs="仿宋_GB2312"/>
                <w:kern w:val="0"/>
                <w:sz w:val="22"/>
                <w:szCs w:val="28"/>
                <w:lang w:bidi="ar"/>
              </w:rPr>
            </w:pPr>
          </w:p>
        </w:tc>
      </w:tr>
      <w:tr w14:paraId="3BFE84C1">
        <w:tblPrEx>
          <w:tblCellMar>
            <w:top w:w="0" w:type="dxa"/>
            <w:left w:w="108" w:type="dxa"/>
            <w:bottom w:w="0" w:type="dxa"/>
            <w:right w:w="108" w:type="dxa"/>
          </w:tblCellMar>
        </w:tblPrEx>
        <w:trPr>
          <w:gridAfter w:val="1"/>
          <w:wAfter w:w="236" w:type="dxa"/>
          <w:trHeight w:val="1205" w:hRule="atLeast"/>
        </w:trPr>
        <w:tc>
          <w:tcPr>
            <w:tcW w:w="817" w:type="dxa"/>
            <w:vMerge w:val="continue"/>
            <w:tcBorders>
              <w:left w:val="single" w:color="000000" w:sz="4" w:space="0"/>
              <w:bottom w:val="single" w:color="000000" w:sz="4" w:space="0"/>
              <w:right w:val="single" w:color="000000" w:sz="4" w:space="0"/>
            </w:tcBorders>
            <w:shd w:val="clear" w:color="auto" w:fill="auto"/>
            <w:vAlign w:val="center"/>
          </w:tcPr>
          <w:p w14:paraId="127FA114">
            <w:pPr>
              <w:spacing w:line="320" w:lineRule="exact"/>
              <w:jc w:val="center"/>
              <w:rPr>
                <w:rFonts w:ascii="仿宋_GB2312" w:hAnsi="仿宋_GB2312" w:eastAsia="仿宋_GB2312" w:cs="仿宋_GB2312"/>
                <w:sz w:val="28"/>
                <w:szCs w:val="2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9A582">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满意度指标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DE4C2">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满意度</w:t>
            </w:r>
          </w:p>
          <w:p w14:paraId="4D009E67">
            <w:pPr>
              <w:widowControl/>
              <w:spacing w:line="320" w:lineRule="exact"/>
              <w:jc w:val="center"/>
              <w:textAlignment w:val="bottom"/>
              <w:rPr>
                <w:rFonts w:ascii="仿宋_GB2312" w:hAnsi="仿宋_GB2312" w:eastAsia="仿宋_GB2312" w:cs="仿宋_GB2312"/>
                <w:kern w:val="0"/>
                <w:sz w:val="24"/>
                <w:szCs w:val="28"/>
                <w:lang w:bidi="ar"/>
              </w:rPr>
            </w:pPr>
            <w:r>
              <w:rPr>
                <w:rFonts w:hint="eastAsia" w:ascii="仿宋_GB2312" w:hAnsi="仿宋_GB2312" w:eastAsia="仿宋_GB2312" w:cs="仿宋_GB2312"/>
                <w:kern w:val="0"/>
                <w:sz w:val="24"/>
                <w:szCs w:val="28"/>
                <w:lang w:bidi="ar"/>
              </w:rPr>
              <w:t>指标</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11D17">
            <w:pPr>
              <w:widowControl/>
              <w:spacing w:line="320" w:lineRule="exact"/>
              <w:jc w:val="center"/>
              <w:textAlignment w:val="bottom"/>
              <w:rPr>
                <w:rFonts w:ascii="仿宋_GB2312" w:hAnsi="仿宋_GB2312" w:eastAsia="仿宋_GB2312" w:cs="仿宋_GB2312"/>
                <w:kern w:val="0"/>
                <w:sz w:val="24"/>
                <w:szCs w:val="28"/>
                <w:lang w:bidi="ar"/>
              </w:rPr>
            </w:pPr>
            <w:r>
              <w:rPr>
                <w:rFonts w:ascii="仿宋_GB2312" w:hAnsi="仿宋_GB2312" w:eastAsia="仿宋_GB2312" w:cs="仿宋_GB2312"/>
                <w:kern w:val="0"/>
                <w:sz w:val="24"/>
                <w:szCs w:val="28"/>
                <w:lang w:bidi="ar"/>
              </w:rPr>
              <w:t>受资助学生满意度</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AABB">
            <w:pPr>
              <w:widowControl/>
              <w:spacing w:line="320" w:lineRule="exact"/>
              <w:jc w:val="center"/>
              <w:textAlignment w:val="bottom"/>
              <w:rPr>
                <w:rFonts w:ascii="仿宋_GB2312" w:hAnsi="仿宋_GB2312" w:eastAsia="仿宋_GB2312" w:cs="仿宋_GB2312"/>
                <w:kern w:val="0"/>
                <w:sz w:val="24"/>
                <w:szCs w:val="28"/>
                <w:lang w:bidi="ar"/>
              </w:rPr>
            </w:pPr>
            <w:r>
              <w:rPr>
                <w:rFonts w:ascii="仿宋_GB2312" w:hAnsi="仿宋_GB2312" w:eastAsia="仿宋_GB2312" w:cs="仿宋_GB2312"/>
                <w:kern w:val="0"/>
                <w:sz w:val="24"/>
                <w:szCs w:val="28"/>
                <w:lang w:bidi="ar"/>
              </w:rPr>
              <w:t>大于9</w:t>
            </w:r>
            <w:r>
              <w:rPr>
                <w:rFonts w:hint="eastAsia" w:ascii="仿宋_GB2312" w:hAnsi="仿宋_GB2312" w:eastAsia="仿宋_GB2312" w:cs="仿宋_GB2312"/>
                <w:kern w:val="0"/>
                <w:sz w:val="24"/>
                <w:szCs w:val="28"/>
                <w:lang w:bidi="ar"/>
              </w:rPr>
              <w:t>0</w:t>
            </w:r>
            <w:r>
              <w:rPr>
                <w:rFonts w:ascii="仿宋_GB2312" w:hAnsi="仿宋_GB2312" w:eastAsia="仿宋_GB2312" w:cs="仿宋_GB2312"/>
                <w:kern w:val="0"/>
                <w:sz w:val="24"/>
                <w:szCs w:val="28"/>
                <w:lang w:bidi="ar"/>
              </w:rPr>
              <w:t>%</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0157">
            <w:pPr>
              <w:widowControl/>
              <w:spacing w:line="320" w:lineRule="exact"/>
              <w:jc w:val="center"/>
              <w:textAlignment w:val="bottom"/>
              <w:rPr>
                <w:rFonts w:ascii="仿宋_GB2312" w:hAnsi="仿宋_GB2312" w:eastAsia="仿宋_GB2312" w:cs="仿宋_GB2312"/>
                <w:kern w:val="0"/>
                <w:sz w:val="24"/>
                <w:szCs w:val="28"/>
                <w:lang w:bidi="ar"/>
              </w:rPr>
            </w:pPr>
            <w:r>
              <w:rPr>
                <w:rFonts w:ascii="仿宋_GB2312" w:hAnsi="仿宋_GB2312" w:eastAsia="仿宋_GB2312" w:cs="仿宋_GB2312"/>
                <w:kern w:val="0"/>
                <w:sz w:val="24"/>
                <w:szCs w:val="28"/>
                <w:lang w:bidi="ar"/>
              </w:rPr>
              <w:t>9</w:t>
            </w:r>
            <w:r>
              <w:rPr>
                <w:rFonts w:hint="eastAsia" w:ascii="仿宋_GB2312" w:hAnsi="仿宋_GB2312" w:eastAsia="仿宋_GB2312" w:cs="仿宋_GB2312"/>
                <w:kern w:val="0"/>
                <w:sz w:val="24"/>
                <w:szCs w:val="28"/>
                <w:lang w:bidi="ar"/>
              </w:rPr>
              <w:t>5</w:t>
            </w:r>
            <w:r>
              <w:rPr>
                <w:rFonts w:ascii="仿宋_GB2312" w:hAnsi="仿宋_GB2312" w:eastAsia="仿宋_GB2312" w:cs="仿宋_GB2312"/>
                <w:kern w:val="0"/>
                <w:sz w:val="24"/>
                <w:szCs w:val="28"/>
                <w:lang w:bidi="ar"/>
              </w:rPr>
              <w:t>%</w:t>
            </w:r>
          </w:p>
        </w:tc>
      </w:tr>
    </w:tbl>
    <w:p w14:paraId="3B82E8D2">
      <w:pPr>
        <w:spacing w:line="600" w:lineRule="exact"/>
        <w:jc w:val="center"/>
        <w:outlineLvl w:val="0"/>
        <w:rPr>
          <w:rFonts w:ascii="黑体" w:hAnsi="黑体" w:eastAsia="黑体"/>
          <w:sz w:val="44"/>
          <w:szCs w:val="44"/>
        </w:rPr>
      </w:pPr>
    </w:p>
    <w:p w14:paraId="01377FD5">
      <w:pPr>
        <w:spacing w:line="600" w:lineRule="exact"/>
        <w:jc w:val="center"/>
        <w:outlineLvl w:val="0"/>
        <w:rPr>
          <w:rFonts w:ascii="黑体" w:hAnsi="黑体" w:eastAsia="黑体"/>
          <w:sz w:val="44"/>
          <w:szCs w:val="44"/>
        </w:rPr>
        <w:sectPr>
          <w:pgSz w:w="11906" w:h="16838"/>
          <w:pgMar w:top="1440" w:right="1800" w:bottom="1440" w:left="1800" w:header="851" w:footer="992" w:gutter="0"/>
          <w:cols w:space="425" w:num="1"/>
          <w:docGrid w:type="lines" w:linePitch="312" w:charSpace="0"/>
        </w:sectPr>
      </w:pPr>
    </w:p>
    <w:p w14:paraId="73322B6A">
      <w:pPr>
        <w:spacing w:line="600" w:lineRule="exact"/>
        <w:jc w:val="center"/>
        <w:outlineLvl w:val="0"/>
        <w:rPr>
          <w:rFonts w:ascii="仿宋" w:hAnsi="仿宋" w:eastAsia="仿宋"/>
        </w:rPr>
      </w:pPr>
      <w:bookmarkStart w:id="140" w:name="_Toc119073736"/>
      <w:r>
        <w:rPr>
          <w:rFonts w:hint="eastAsia" w:ascii="黑体" w:hAnsi="黑体" w:eastAsia="黑体"/>
          <w:sz w:val="44"/>
          <w:szCs w:val="44"/>
        </w:rPr>
        <w:t>第</w:t>
      </w:r>
      <w:r>
        <w:rPr>
          <w:rStyle w:val="24"/>
          <w:rFonts w:hint="eastAsia" w:ascii="黑体" w:hAnsi="黑体" w:eastAsia="黑体"/>
          <w:b w:val="0"/>
        </w:rPr>
        <w:t>五部分 附表</w:t>
      </w:r>
      <w:bookmarkEnd w:id="133"/>
      <w:bookmarkEnd w:id="137"/>
      <w:bookmarkEnd w:id="140"/>
      <w:bookmarkStart w:id="141" w:name="_Toc15396619"/>
    </w:p>
    <w:p w14:paraId="2B9911B7">
      <w:pPr>
        <w:pStyle w:val="4"/>
        <w:numPr>
          <w:ilvl w:val="0"/>
          <w:numId w:val="4"/>
        </w:numPr>
        <w:rPr>
          <w:rFonts w:ascii="仿宋" w:hAnsi="仿宋" w:eastAsia="仿宋"/>
        </w:rPr>
      </w:pPr>
      <w:bookmarkStart w:id="142" w:name="_Toc119073737"/>
      <w:r>
        <w:rPr>
          <w:rFonts w:hint="eastAsia" w:ascii="仿宋" w:hAnsi="仿宋" w:eastAsia="仿宋"/>
        </w:rPr>
        <w:t>收</w:t>
      </w:r>
      <w:r>
        <w:rPr>
          <w:rFonts w:hint="eastAsia"/>
          <w:bCs w:val="0"/>
        </w:rPr>
        <w:t>入支出决算总表</w:t>
      </w:r>
      <w:bookmarkEnd w:id="141"/>
      <w:bookmarkEnd w:id="142"/>
    </w:p>
    <w:p w14:paraId="62C022E1">
      <w:pPr>
        <w:pStyle w:val="4"/>
        <w:numPr>
          <w:ilvl w:val="0"/>
          <w:numId w:val="4"/>
        </w:numPr>
        <w:rPr>
          <w:bCs w:val="0"/>
        </w:rPr>
      </w:pPr>
      <w:bookmarkStart w:id="143" w:name="_Toc15396620"/>
      <w:bookmarkStart w:id="144" w:name="_Toc119073738"/>
      <w:r>
        <w:rPr>
          <w:rFonts w:hint="eastAsia"/>
          <w:bCs w:val="0"/>
        </w:rPr>
        <w:t>收入决算表</w:t>
      </w:r>
      <w:bookmarkEnd w:id="143"/>
      <w:bookmarkEnd w:id="144"/>
    </w:p>
    <w:p w14:paraId="2CB1CEBC">
      <w:pPr>
        <w:pStyle w:val="4"/>
        <w:numPr>
          <w:ilvl w:val="0"/>
          <w:numId w:val="4"/>
        </w:numPr>
        <w:rPr>
          <w:bCs w:val="0"/>
        </w:rPr>
      </w:pPr>
      <w:bookmarkStart w:id="145" w:name="_Toc119073739"/>
      <w:bookmarkStart w:id="146" w:name="_Toc15396621"/>
      <w:r>
        <w:rPr>
          <w:rFonts w:hint="eastAsia"/>
          <w:bCs w:val="0"/>
        </w:rPr>
        <w:t>支出决算表</w:t>
      </w:r>
      <w:bookmarkEnd w:id="145"/>
      <w:bookmarkEnd w:id="146"/>
    </w:p>
    <w:p w14:paraId="5F534295">
      <w:pPr>
        <w:pStyle w:val="4"/>
        <w:numPr>
          <w:ilvl w:val="0"/>
          <w:numId w:val="4"/>
        </w:numPr>
        <w:rPr>
          <w:bCs w:val="0"/>
        </w:rPr>
      </w:pPr>
      <w:bookmarkStart w:id="147" w:name="_Toc119073740"/>
      <w:bookmarkStart w:id="148" w:name="_Toc15396622"/>
      <w:r>
        <w:rPr>
          <w:rFonts w:hint="eastAsia"/>
          <w:bCs w:val="0"/>
        </w:rPr>
        <w:t>财政拨款收入支出决算总表</w:t>
      </w:r>
      <w:bookmarkEnd w:id="147"/>
      <w:bookmarkEnd w:id="148"/>
    </w:p>
    <w:p w14:paraId="18F626D8">
      <w:pPr>
        <w:pStyle w:val="4"/>
        <w:numPr>
          <w:ilvl w:val="0"/>
          <w:numId w:val="4"/>
        </w:numPr>
        <w:rPr>
          <w:bCs w:val="0"/>
        </w:rPr>
      </w:pPr>
      <w:bookmarkStart w:id="149" w:name="_Toc119073741"/>
      <w:bookmarkStart w:id="150" w:name="_Toc15396623"/>
      <w:r>
        <w:rPr>
          <w:rFonts w:hint="eastAsia"/>
          <w:bCs w:val="0"/>
        </w:rPr>
        <w:t>财政拨款支出决算明细表</w:t>
      </w:r>
      <w:bookmarkEnd w:id="149"/>
      <w:bookmarkEnd w:id="150"/>
      <w:bookmarkStart w:id="151" w:name="_Toc15396624"/>
    </w:p>
    <w:p w14:paraId="03AC7068">
      <w:pPr>
        <w:pStyle w:val="4"/>
        <w:numPr>
          <w:ilvl w:val="0"/>
          <w:numId w:val="4"/>
        </w:numPr>
        <w:rPr>
          <w:bCs w:val="0"/>
        </w:rPr>
      </w:pPr>
      <w:bookmarkStart w:id="152" w:name="_Toc119073742"/>
      <w:r>
        <w:rPr>
          <w:rFonts w:hint="eastAsia"/>
          <w:bCs w:val="0"/>
        </w:rPr>
        <w:t>一般公共预算财政拨款支出决算表</w:t>
      </w:r>
      <w:bookmarkEnd w:id="151"/>
      <w:bookmarkEnd w:id="152"/>
    </w:p>
    <w:p w14:paraId="7CF835C0">
      <w:pPr>
        <w:pStyle w:val="4"/>
        <w:numPr>
          <w:ilvl w:val="0"/>
          <w:numId w:val="4"/>
        </w:numPr>
        <w:rPr>
          <w:bCs w:val="0"/>
        </w:rPr>
      </w:pPr>
      <w:bookmarkStart w:id="153" w:name="_Toc119073743"/>
      <w:bookmarkStart w:id="154" w:name="_Toc15396625"/>
      <w:r>
        <w:rPr>
          <w:rFonts w:hint="eastAsia"/>
          <w:bCs w:val="0"/>
        </w:rPr>
        <w:t>一般公共预算财政拨款支出决算明细表</w:t>
      </w:r>
      <w:bookmarkEnd w:id="153"/>
      <w:bookmarkEnd w:id="154"/>
    </w:p>
    <w:p w14:paraId="6C0E2230">
      <w:pPr>
        <w:pStyle w:val="4"/>
        <w:numPr>
          <w:ilvl w:val="0"/>
          <w:numId w:val="4"/>
        </w:numPr>
        <w:rPr>
          <w:bCs w:val="0"/>
        </w:rPr>
      </w:pPr>
      <w:bookmarkStart w:id="155" w:name="_Toc15396626"/>
      <w:bookmarkStart w:id="156" w:name="_Toc119073744"/>
      <w:r>
        <w:rPr>
          <w:rFonts w:hint="eastAsia"/>
          <w:bCs w:val="0"/>
        </w:rPr>
        <w:t>一般公共预算财政拨款基本支出决算表</w:t>
      </w:r>
      <w:bookmarkEnd w:id="155"/>
      <w:bookmarkEnd w:id="156"/>
    </w:p>
    <w:p w14:paraId="62CDB90E">
      <w:pPr>
        <w:pStyle w:val="4"/>
        <w:numPr>
          <w:ilvl w:val="0"/>
          <w:numId w:val="4"/>
        </w:numPr>
        <w:rPr>
          <w:bCs w:val="0"/>
        </w:rPr>
      </w:pPr>
      <w:bookmarkStart w:id="157" w:name="_Toc15396627"/>
      <w:bookmarkStart w:id="158" w:name="_Toc119073745"/>
      <w:r>
        <w:rPr>
          <w:rFonts w:hint="eastAsia"/>
          <w:bCs w:val="0"/>
        </w:rPr>
        <w:t>一般公共预算财政拨款项目支出决算表</w:t>
      </w:r>
      <w:bookmarkEnd w:id="157"/>
      <w:bookmarkEnd w:id="158"/>
    </w:p>
    <w:p w14:paraId="12C8CC3E">
      <w:pPr>
        <w:pStyle w:val="4"/>
        <w:numPr>
          <w:ilvl w:val="0"/>
          <w:numId w:val="4"/>
        </w:numPr>
        <w:rPr>
          <w:bCs w:val="0"/>
        </w:rPr>
      </w:pPr>
      <w:bookmarkStart w:id="159" w:name="_Toc119073746"/>
      <w:bookmarkStart w:id="160" w:name="_Toc15396628"/>
      <w:r>
        <w:rPr>
          <w:rFonts w:hint="eastAsia"/>
          <w:bCs w:val="0"/>
        </w:rPr>
        <w:t>一般公共预算财政拨款“三公”经费支出决算表</w:t>
      </w:r>
      <w:bookmarkEnd w:id="159"/>
      <w:bookmarkEnd w:id="160"/>
    </w:p>
    <w:p w14:paraId="7BAEE353">
      <w:pPr>
        <w:pStyle w:val="4"/>
        <w:numPr>
          <w:ilvl w:val="0"/>
          <w:numId w:val="4"/>
        </w:numPr>
        <w:rPr>
          <w:bCs w:val="0"/>
        </w:rPr>
      </w:pPr>
      <w:bookmarkStart w:id="161" w:name="_Toc15396629"/>
      <w:bookmarkStart w:id="162" w:name="_Toc119073747"/>
      <w:r>
        <w:rPr>
          <w:rFonts w:hint="eastAsia"/>
          <w:bCs w:val="0"/>
        </w:rPr>
        <w:t>政府性基金预算财政拨款收入支出决算表</w:t>
      </w:r>
      <w:bookmarkEnd w:id="161"/>
      <w:bookmarkEnd w:id="162"/>
    </w:p>
    <w:p w14:paraId="13FAB99A">
      <w:pPr>
        <w:pStyle w:val="4"/>
        <w:numPr>
          <w:ilvl w:val="0"/>
          <w:numId w:val="4"/>
        </w:numPr>
        <w:rPr>
          <w:bCs w:val="0"/>
        </w:rPr>
      </w:pPr>
      <w:bookmarkStart w:id="163" w:name="_Toc15396630"/>
      <w:bookmarkStart w:id="164" w:name="_Toc119073748"/>
      <w:r>
        <w:rPr>
          <w:rFonts w:hint="eastAsia"/>
          <w:bCs w:val="0"/>
        </w:rPr>
        <w:t>政府性基金预算财政拨款“三公”经费支出决算表</w:t>
      </w:r>
      <w:bookmarkEnd w:id="163"/>
      <w:bookmarkEnd w:id="164"/>
    </w:p>
    <w:p w14:paraId="2326AA46">
      <w:pPr>
        <w:pStyle w:val="4"/>
        <w:numPr>
          <w:ilvl w:val="0"/>
          <w:numId w:val="4"/>
        </w:numPr>
        <w:rPr>
          <w:bCs w:val="0"/>
        </w:rPr>
      </w:pPr>
      <w:bookmarkStart w:id="165" w:name="_Toc119073749"/>
      <w:bookmarkStart w:id="166" w:name="_Toc15396631"/>
      <w:r>
        <w:rPr>
          <w:rFonts w:hint="eastAsia"/>
          <w:bCs w:val="0"/>
        </w:rPr>
        <w:t>国有资本经营预算财政拨款收入支出决算表</w:t>
      </w:r>
      <w:bookmarkEnd w:id="165"/>
      <w:bookmarkEnd w:id="166"/>
    </w:p>
    <w:p w14:paraId="3308D478">
      <w:pPr>
        <w:pStyle w:val="4"/>
        <w:numPr>
          <w:ilvl w:val="0"/>
          <w:numId w:val="4"/>
        </w:numPr>
        <w:rPr>
          <w:bCs w:val="0"/>
        </w:rPr>
      </w:pPr>
      <w:bookmarkStart w:id="167" w:name="_Toc119073750"/>
      <w:r>
        <w:rPr>
          <w:rFonts w:hint="eastAsia"/>
          <w:bCs w:val="0"/>
        </w:rPr>
        <w:t>国有资本经营预算财政拨款支出决算表</w:t>
      </w:r>
      <w:bookmarkEnd w:id="16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38EC7D-99BC-4381-89E3-B9288D8CD9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EA8CA1A-CA99-416C-89D9-B227A1ACED5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578C231-63D6-4E17-9AF9-E474DB96E999}"/>
  </w:font>
  <w:font w:name="仿宋">
    <w:panose1 w:val="02010609060101010101"/>
    <w:charset w:val="86"/>
    <w:family w:val="modern"/>
    <w:pitch w:val="default"/>
    <w:sig w:usb0="800002BF" w:usb1="38CF7CFA" w:usb2="00000016" w:usb3="00000000" w:csb0="00040001" w:csb1="00000000"/>
    <w:embedRegular r:id="rId4" w:fontKey="{ED62868C-B784-45EB-A42E-CF1F4EFD90FD}"/>
  </w:font>
  <w:font w:name="方正小标宋简体">
    <w:panose1 w:val="02000000000000000000"/>
    <w:charset w:val="86"/>
    <w:family w:val="auto"/>
    <w:pitch w:val="default"/>
    <w:sig w:usb0="00000001" w:usb1="08000000" w:usb2="00000000" w:usb3="00000000" w:csb0="00040000" w:csb1="00000000"/>
    <w:embedRegular r:id="rId5" w:fontKey="{3DF61728-08F2-45C2-8597-7E783E884D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EFBD6FC">
        <w:pPr>
          <w:pStyle w:val="8"/>
          <w:jc w:val="center"/>
        </w:pPr>
        <w:r>
          <w:fldChar w:fldCharType="begin"/>
        </w:r>
        <w:r>
          <w:instrText xml:space="preserve">PAGE   \* MERGEFORMAT</w:instrText>
        </w:r>
        <w:r>
          <w:fldChar w:fldCharType="separate"/>
        </w:r>
        <w:r>
          <w:rPr>
            <w:lang w:val="zh-CN"/>
          </w:rPr>
          <w:t>2</w:t>
        </w:r>
        <w:r>
          <w:fldChar w:fldCharType="end"/>
        </w:r>
      </w:p>
    </w:sdtContent>
  </w:sdt>
  <w:p w14:paraId="68DD35B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06CE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640123"/>
    </w:sdtPr>
    <w:sdtContent>
      <w:p w14:paraId="639B0784">
        <w:pPr>
          <w:pStyle w:val="8"/>
          <w:jc w:val="center"/>
        </w:pPr>
        <w:r>
          <w:fldChar w:fldCharType="begin"/>
        </w:r>
        <w:r>
          <w:instrText xml:space="preserve">PAGE   \* MERGEFORMAT</w:instrText>
        </w:r>
        <w:r>
          <w:fldChar w:fldCharType="separate"/>
        </w:r>
        <w:r>
          <w:rPr>
            <w:lang w:val="zh-CN"/>
          </w:rPr>
          <w:t>13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191E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0FEA25C1"/>
    <w:multiLevelType w:val="multilevel"/>
    <w:tmpl w:val="0FEA25C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DC3FD5"/>
    <w:multiLevelType w:val="multilevel"/>
    <w:tmpl w:val="67DC3FD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B93B20"/>
    <w:multiLevelType w:val="multilevel"/>
    <w:tmpl w:val="74B93B2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93E"/>
    <w:rsid w:val="000222C6"/>
    <w:rsid w:val="0002549F"/>
    <w:rsid w:val="000468DB"/>
    <w:rsid w:val="0006487A"/>
    <w:rsid w:val="00065F8F"/>
    <w:rsid w:val="0006783E"/>
    <w:rsid w:val="00070A43"/>
    <w:rsid w:val="000768F2"/>
    <w:rsid w:val="00076F1B"/>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5E4F"/>
    <w:rsid w:val="000E6613"/>
    <w:rsid w:val="000E7119"/>
    <w:rsid w:val="000F1489"/>
    <w:rsid w:val="00114E9B"/>
    <w:rsid w:val="00130EAB"/>
    <w:rsid w:val="00142216"/>
    <w:rsid w:val="00144D6A"/>
    <w:rsid w:val="00145EFA"/>
    <w:rsid w:val="0014729F"/>
    <w:rsid w:val="00157BAB"/>
    <w:rsid w:val="001654D1"/>
    <w:rsid w:val="00174518"/>
    <w:rsid w:val="0018106D"/>
    <w:rsid w:val="001877A7"/>
    <w:rsid w:val="00191536"/>
    <w:rsid w:val="001926F1"/>
    <w:rsid w:val="00192A73"/>
    <w:rsid w:val="00196687"/>
    <w:rsid w:val="001A296E"/>
    <w:rsid w:val="001A3C24"/>
    <w:rsid w:val="001C0962"/>
    <w:rsid w:val="001D7531"/>
    <w:rsid w:val="001E737D"/>
    <w:rsid w:val="001F0592"/>
    <w:rsid w:val="001F7506"/>
    <w:rsid w:val="002006CD"/>
    <w:rsid w:val="00202B36"/>
    <w:rsid w:val="00204B7A"/>
    <w:rsid w:val="00204CDE"/>
    <w:rsid w:val="0021101A"/>
    <w:rsid w:val="00220536"/>
    <w:rsid w:val="00227291"/>
    <w:rsid w:val="00235629"/>
    <w:rsid w:val="00253990"/>
    <w:rsid w:val="00260C38"/>
    <w:rsid w:val="002616C0"/>
    <w:rsid w:val="00265372"/>
    <w:rsid w:val="002662AA"/>
    <w:rsid w:val="00280496"/>
    <w:rsid w:val="002921EC"/>
    <w:rsid w:val="00294DC9"/>
    <w:rsid w:val="00295495"/>
    <w:rsid w:val="002A31DE"/>
    <w:rsid w:val="002B2613"/>
    <w:rsid w:val="002D6D05"/>
    <w:rsid w:val="002F1818"/>
    <w:rsid w:val="002F24A5"/>
    <w:rsid w:val="002F567B"/>
    <w:rsid w:val="002F606B"/>
    <w:rsid w:val="003216A9"/>
    <w:rsid w:val="00335A74"/>
    <w:rsid w:val="0036561B"/>
    <w:rsid w:val="0037013F"/>
    <w:rsid w:val="0037678B"/>
    <w:rsid w:val="00380C92"/>
    <w:rsid w:val="003A479D"/>
    <w:rsid w:val="003A484F"/>
    <w:rsid w:val="003A4883"/>
    <w:rsid w:val="003A6B09"/>
    <w:rsid w:val="003B0BE0"/>
    <w:rsid w:val="003B0C1B"/>
    <w:rsid w:val="003B688C"/>
    <w:rsid w:val="003B6D72"/>
    <w:rsid w:val="003C0291"/>
    <w:rsid w:val="003C39AE"/>
    <w:rsid w:val="003C7B60"/>
    <w:rsid w:val="003D0C0F"/>
    <w:rsid w:val="003D1FB2"/>
    <w:rsid w:val="003D4CBF"/>
    <w:rsid w:val="003D66DA"/>
    <w:rsid w:val="003E1310"/>
    <w:rsid w:val="003E6F55"/>
    <w:rsid w:val="00406254"/>
    <w:rsid w:val="004223DE"/>
    <w:rsid w:val="00433D75"/>
    <w:rsid w:val="00434342"/>
    <w:rsid w:val="00434489"/>
    <w:rsid w:val="00437085"/>
    <w:rsid w:val="00443880"/>
    <w:rsid w:val="00443B5C"/>
    <w:rsid w:val="004464F4"/>
    <w:rsid w:val="0046256B"/>
    <w:rsid w:val="00471401"/>
    <w:rsid w:val="00473F31"/>
    <w:rsid w:val="0048263A"/>
    <w:rsid w:val="00487E5D"/>
    <w:rsid w:val="00497D25"/>
    <w:rsid w:val="004A711F"/>
    <w:rsid w:val="004B199D"/>
    <w:rsid w:val="004B4690"/>
    <w:rsid w:val="004D37C1"/>
    <w:rsid w:val="004D3F4D"/>
    <w:rsid w:val="004E0A2D"/>
    <w:rsid w:val="004E206B"/>
    <w:rsid w:val="004E6DF7"/>
    <w:rsid w:val="004F0FBD"/>
    <w:rsid w:val="005019F6"/>
    <w:rsid w:val="00505A47"/>
    <w:rsid w:val="00512FDA"/>
    <w:rsid w:val="00520DA0"/>
    <w:rsid w:val="00530260"/>
    <w:rsid w:val="00531AA5"/>
    <w:rsid w:val="005664BB"/>
    <w:rsid w:val="00566FFA"/>
    <w:rsid w:val="0057481D"/>
    <w:rsid w:val="0058486E"/>
    <w:rsid w:val="00585B33"/>
    <w:rsid w:val="0059014D"/>
    <w:rsid w:val="005B5C64"/>
    <w:rsid w:val="005C5337"/>
    <w:rsid w:val="005C55BF"/>
    <w:rsid w:val="005C6BD0"/>
    <w:rsid w:val="005D1C8B"/>
    <w:rsid w:val="005D468D"/>
    <w:rsid w:val="005D5CED"/>
    <w:rsid w:val="005E6D28"/>
    <w:rsid w:val="005F1A4C"/>
    <w:rsid w:val="00605688"/>
    <w:rsid w:val="006070AF"/>
    <w:rsid w:val="00607E6C"/>
    <w:rsid w:val="006101B1"/>
    <w:rsid w:val="00614E44"/>
    <w:rsid w:val="0062270A"/>
    <w:rsid w:val="00622830"/>
    <w:rsid w:val="00622C75"/>
    <w:rsid w:val="00623DA0"/>
    <w:rsid w:val="00630AEF"/>
    <w:rsid w:val="006325F8"/>
    <w:rsid w:val="00633463"/>
    <w:rsid w:val="00634C9A"/>
    <w:rsid w:val="006440E4"/>
    <w:rsid w:val="0066143C"/>
    <w:rsid w:val="0066343B"/>
    <w:rsid w:val="00664777"/>
    <w:rsid w:val="006748A4"/>
    <w:rsid w:val="00681A31"/>
    <w:rsid w:val="00683E73"/>
    <w:rsid w:val="00693C52"/>
    <w:rsid w:val="006A0E9F"/>
    <w:rsid w:val="006A3141"/>
    <w:rsid w:val="006A4D2B"/>
    <w:rsid w:val="006A5E34"/>
    <w:rsid w:val="006A6C2E"/>
    <w:rsid w:val="006B2422"/>
    <w:rsid w:val="006B2B9A"/>
    <w:rsid w:val="006C1937"/>
    <w:rsid w:val="006F020C"/>
    <w:rsid w:val="007127B7"/>
    <w:rsid w:val="00714D8C"/>
    <w:rsid w:val="007174FB"/>
    <w:rsid w:val="0071798E"/>
    <w:rsid w:val="007416B6"/>
    <w:rsid w:val="00746F48"/>
    <w:rsid w:val="0075404D"/>
    <w:rsid w:val="0076182A"/>
    <w:rsid w:val="00767B7E"/>
    <w:rsid w:val="007770C3"/>
    <w:rsid w:val="00784D24"/>
    <w:rsid w:val="00785FBA"/>
    <w:rsid w:val="00786809"/>
    <w:rsid w:val="00786E4A"/>
    <w:rsid w:val="007875EB"/>
    <w:rsid w:val="00790D9F"/>
    <w:rsid w:val="0079426B"/>
    <w:rsid w:val="007954DE"/>
    <w:rsid w:val="007A4B6B"/>
    <w:rsid w:val="007B7815"/>
    <w:rsid w:val="007C2199"/>
    <w:rsid w:val="007C3829"/>
    <w:rsid w:val="007D1682"/>
    <w:rsid w:val="007D312A"/>
    <w:rsid w:val="007D37E4"/>
    <w:rsid w:val="007D3F19"/>
    <w:rsid w:val="007E23B0"/>
    <w:rsid w:val="007E23E5"/>
    <w:rsid w:val="007E5592"/>
    <w:rsid w:val="007F1259"/>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2D9D"/>
    <w:rsid w:val="00885AF4"/>
    <w:rsid w:val="00892BE7"/>
    <w:rsid w:val="008939CD"/>
    <w:rsid w:val="008A273C"/>
    <w:rsid w:val="008B4C64"/>
    <w:rsid w:val="008B768C"/>
    <w:rsid w:val="008C4DB1"/>
    <w:rsid w:val="008C4EAF"/>
    <w:rsid w:val="008C5176"/>
    <w:rsid w:val="008C7FD0"/>
    <w:rsid w:val="008D5615"/>
    <w:rsid w:val="008E111F"/>
    <w:rsid w:val="008E1DE7"/>
    <w:rsid w:val="008E707C"/>
    <w:rsid w:val="00900B08"/>
    <w:rsid w:val="0090208B"/>
    <w:rsid w:val="00902155"/>
    <w:rsid w:val="00902FA3"/>
    <w:rsid w:val="00923564"/>
    <w:rsid w:val="0092392E"/>
    <w:rsid w:val="009315F9"/>
    <w:rsid w:val="00932F8B"/>
    <w:rsid w:val="00933499"/>
    <w:rsid w:val="00935C98"/>
    <w:rsid w:val="00946945"/>
    <w:rsid w:val="00951248"/>
    <w:rsid w:val="0095152F"/>
    <w:rsid w:val="00954C49"/>
    <w:rsid w:val="00955E37"/>
    <w:rsid w:val="009561AF"/>
    <w:rsid w:val="00960209"/>
    <w:rsid w:val="0096495A"/>
    <w:rsid w:val="0097099F"/>
    <w:rsid w:val="00971997"/>
    <w:rsid w:val="00971FFC"/>
    <w:rsid w:val="00973070"/>
    <w:rsid w:val="0098660A"/>
    <w:rsid w:val="009931C3"/>
    <w:rsid w:val="009957BE"/>
    <w:rsid w:val="009B2C43"/>
    <w:rsid w:val="009B4EAE"/>
    <w:rsid w:val="009B7573"/>
    <w:rsid w:val="009C22F4"/>
    <w:rsid w:val="009C2A4B"/>
    <w:rsid w:val="009C2E98"/>
    <w:rsid w:val="009D2075"/>
    <w:rsid w:val="009D3447"/>
    <w:rsid w:val="009D4711"/>
    <w:rsid w:val="009E3E74"/>
    <w:rsid w:val="009F1185"/>
    <w:rsid w:val="009F18CD"/>
    <w:rsid w:val="009F2A13"/>
    <w:rsid w:val="009F7527"/>
    <w:rsid w:val="00A04EB0"/>
    <w:rsid w:val="00A12399"/>
    <w:rsid w:val="00A13955"/>
    <w:rsid w:val="00A13CC1"/>
    <w:rsid w:val="00A16847"/>
    <w:rsid w:val="00A17BE9"/>
    <w:rsid w:val="00A237D8"/>
    <w:rsid w:val="00A268C4"/>
    <w:rsid w:val="00A307CD"/>
    <w:rsid w:val="00A331C8"/>
    <w:rsid w:val="00A40A00"/>
    <w:rsid w:val="00A4142F"/>
    <w:rsid w:val="00A422EB"/>
    <w:rsid w:val="00A45461"/>
    <w:rsid w:val="00A45BB7"/>
    <w:rsid w:val="00A56DF2"/>
    <w:rsid w:val="00A56E6E"/>
    <w:rsid w:val="00A65842"/>
    <w:rsid w:val="00A67AB5"/>
    <w:rsid w:val="00A733B2"/>
    <w:rsid w:val="00A741C2"/>
    <w:rsid w:val="00A91760"/>
    <w:rsid w:val="00A93B00"/>
    <w:rsid w:val="00A93C21"/>
    <w:rsid w:val="00AA6554"/>
    <w:rsid w:val="00AB61E1"/>
    <w:rsid w:val="00AB64C9"/>
    <w:rsid w:val="00AC3C6A"/>
    <w:rsid w:val="00AD18C3"/>
    <w:rsid w:val="00AD5620"/>
    <w:rsid w:val="00AD656B"/>
    <w:rsid w:val="00AD6D01"/>
    <w:rsid w:val="00AD7C1B"/>
    <w:rsid w:val="00AE16BA"/>
    <w:rsid w:val="00AE17D7"/>
    <w:rsid w:val="00AE1EBE"/>
    <w:rsid w:val="00B03C9D"/>
    <w:rsid w:val="00B060AE"/>
    <w:rsid w:val="00B10517"/>
    <w:rsid w:val="00B14E76"/>
    <w:rsid w:val="00B161B8"/>
    <w:rsid w:val="00B17F2A"/>
    <w:rsid w:val="00B2048C"/>
    <w:rsid w:val="00B310B9"/>
    <w:rsid w:val="00B35F3F"/>
    <w:rsid w:val="00B36CBB"/>
    <w:rsid w:val="00B425E0"/>
    <w:rsid w:val="00B440AA"/>
    <w:rsid w:val="00B44B70"/>
    <w:rsid w:val="00B53C56"/>
    <w:rsid w:val="00B57DAF"/>
    <w:rsid w:val="00B77EA6"/>
    <w:rsid w:val="00B81598"/>
    <w:rsid w:val="00B841F1"/>
    <w:rsid w:val="00B867D6"/>
    <w:rsid w:val="00B944D6"/>
    <w:rsid w:val="00BB268A"/>
    <w:rsid w:val="00BB4DF0"/>
    <w:rsid w:val="00BC289F"/>
    <w:rsid w:val="00BC2D50"/>
    <w:rsid w:val="00BC5361"/>
    <w:rsid w:val="00BC5460"/>
    <w:rsid w:val="00BC6B50"/>
    <w:rsid w:val="00BD0940"/>
    <w:rsid w:val="00BD0E25"/>
    <w:rsid w:val="00BD6EB4"/>
    <w:rsid w:val="00BE41DB"/>
    <w:rsid w:val="00BF5BD6"/>
    <w:rsid w:val="00C03E31"/>
    <w:rsid w:val="00C05404"/>
    <w:rsid w:val="00C05D1E"/>
    <w:rsid w:val="00C20942"/>
    <w:rsid w:val="00C31A0E"/>
    <w:rsid w:val="00C33E72"/>
    <w:rsid w:val="00C354B2"/>
    <w:rsid w:val="00C35554"/>
    <w:rsid w:val="00C42709"/>
    <w:rsid w:val="00C533CC"/>
    <w:rsid w:val="00C5629E"/>
    <w:rsid w:val="00C5751C"/>
    <w:rsid w:val="00C61BFC"/>
    <w:rsid w:val="00C62B85"/>
    <w:rsid w:val="00C65438"/>
    <w:rsid w:val="00C87FD8"/>
    <w:rsid w:val="00C9040C"/>
    <w:rsid w:val="00C91381"/>
    <w:rsid w:val="00C91CBB"/>
    <w:rsid w:val="00CA75C0"/>
    <w:rsid w:val="00CB4E70"/>
    <w:rsid w:val="00CC09B6"/>
    <w:rsid w:val="00CC666F"/>
    <w:rsid w:val="00CD1E3F"/>
    <w:rsid w:val="00CE44F6"/>
    <w:rsid w:val="00CE49DA"/>
    <w:rsid w:val="00CE7B61"/>
    <w:rsid w:val="00D00095"/>
    <w:rsid w:val="00D03B71"/>
    <w:rsid w:val="00D05D0B"/>
    <w:rsid w:val="00D114F0"/>
    <w:rsid w:val="00D20620"/>
    <w:rsid w:val="00D254F7"/>
    <w:rsid w:val="00D26091"/>
    <w:rsid w:val="00D2685C"/>
    <w:rsid w:val="00D34E7C"/>
    <w:rsid w:val="00D35489"/>
    <w:rsid w:val="00D36AFE"/>
    <w:rsid w:val="00D51276"/>
    <w:rsid w:val="00D7035F"/>
    <w:rsid w:val="00D96F17"/>
    <w:rsid w:val="00DA634F"/>
    <w:rsid w:val="00DA65AC"/>
    <w:rsid w:val="00DB0B88"/>
    <w:rsid w:val="00DB1913"/>
    <w:rsid w:val="00DC410D"/>
    <w:rsid w:val="00DC5A81"/>
    <w:rsid w:val="00DC68CA"/>
    <w:rsid w:val="00DC7CBA"/>
    <w:rsid w:val="00DD73B7"/>
    <w:rsid w:val="00DF09D4"/>
    <w:rsid w:val="00DF28BC"/>
    <w:rsid w:val="00DF34B9"/>
    <w:rsid w:val="00E01053"/>
    <w:rsid w:val="00E049AD"/>
    <w:rsid w:val="00E07ACF"/>
    <w:rsid w:val="00E331A1"/>
    <w:rsid w:val="00E33202"/>
    <w:rsid w:val="00E336A9"/>
    <w:rsid w:val="00E342A9"/>
    <w:rsid w:val="00E4236E"/>
    <w:rsid w:val="00E472B1"/>
    <w:rsid w:val="00E47AF4"/>
    <w:rsid w:val="00E50624"/>
    <w:rsid w:val="00E568DF"/>
    <w:rsid w:val="00E64269"/>
    <w:rsid w:val="00E77693"/>
    <w:rsid w:val="00E82267"/>
    <w:rsid w:val="00E853CE"/>
    <w:rsid w:val="00E867B6"/>
    <w:rsid w:val="00E93209"/>
    <w:rsid w:val="00E97C26"/>
    <w:rsid w:val="00EA010F"/>
    <w:rsid w:val="00EB5063"/>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371B"/>
    <w:rsid w:val="00F602DF"/>
    <w:rsid w:val="00F61E1E"/>
    <w:rsid w:val="00F754A1"/>
    <w:rsid w:val="00F805E3"/>
    <w:rsid w:val="00F81FD9"/>
    <w:rsid w:val="00F841AA"/>
    <w:rsid w:val="00F84A94"/>
    <w:rsid w:val="00F87E96"/>
    <w:rsid w:val="00F95C15"/>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9F3A96"/>
    <w:rsid w:val="493C27E9"/>
    <w:rsid w:val="496F39ED"/>
    <w:rsid w:val="49FF41D3"/>
    <w:rsid w:val="4BE068DB"/>
    <w:rsid w:val="4BF6002B"/>
    <w:rsid w:val="4E7A4EF2"/>
    <w:rsid w:val="4ECE2238"/>
    <w:rsid w:val="51DB4B86"/>
    <w:rsid w:val="55333C3E"/>
    <w:rsid w:val="64CA39A1"/>
    <w:rsid w:val="6C4A05C8"/>
    <w:rsid w:val="72734D90"/>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5" w:lineRule="auto"/>
      <w:jc w:val="left"/>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收、支决算总计</a:t>
            </a:r>
            <a:endParaRPr lang="zh-CN" altLang="en-US"/>
          </a:p>
        </c:rich>
      </c:tx>
      <c:layout>
        <c:manualLayout>
          <c:xMode val="edge"/>
          <c:yMode val="edge"/>
          <c:x val="0.321810759570547"/>
          <c:y val="0.033214709371293"/>
        </c:manualLayout>
      </c:layout>
      <c:overlay val="0"/>
    </c:title>
    <c:autoTitleDeleted val="0"/>
    <c:plotArea>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5860.71</c:v>
                </c:pt>
                <c:pt idx="1">
                  <c:v>7301.73</c:v>
                </c:pt>
              </c:numCache>
            </c:numRef>
          </c:val>
        </c:ser>
        <c:dLbls>
          <c:showLegendKey val="0"/>
          <c:showVal val="0"/>
          <c:showCatName val="0"/>
          <c:showSerName val="0"/>
          <c:showPercent val="0"/>
          <c:showBubbleSize val="0"/>
        </c:dLbls>
        <c:gapWidth val="75"/>
        <c:overlap val="40"/>
        <c:axId val="463779328"/>
        <c:axId val="463780864"/>
      </c:barChart>
      <c:catAx>
        <c:axId val="46377932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3780864"/>
        <c:crosses val="autoZero"/>
        <c:auto val="1"/>
        <c:lblAlgn val="ctr"/>
        <c:lblOffset val="100"/>
        <c:noMultiLvlLbl val="0"/>
      </c:catAx>
      <c:valAx>
        <c:axId val="4637808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3779328"/>
        <c:crosses val="autoZero"/>
        <c:crossBetween val="between"/>
      </c:valAx>
    </c:plotArea>
    <c:plotVisOnly val="1"/>
    <c:dispBlanksAs val="gap"/>
    <c:showDLblsOverMax val="0"/>
    <c:extLst>
      <c:ext uri="{0b15fc19-7d7d-44ad-8c2d-2c3a37ce22c3}">
        <chartProps xmlns="https://web.wps.cn/et/2018/main" chartId="{6f752e15-6ef5-4b64-a2d4-93e8d426e4e1}"/>
      </c:ext>
    </c:extLst>
  </c:chart>
  <c:spPr>
    <a:ln w="0" cap="flat" cmpd="sng" algn="ctr">
      <a:noFill/>
      <a:prstDash val="solid"/>
      <a:round/>
    </a:ln>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Lbls>
            <c:dLbl>
              <c:idx val="2"/>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5279.1</c:v>
                </c:pt>
                <c:pt idx="1">
                  <c:v>2014.87</c:v>
                </c:pt>
                <c:pt idx="2">
                  <c:v>7.76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eb230ca9-9f53-4508-b7e9-3b3c7f26ea96}"/>
      </c:ext>
    </c:extLst>
  </c:chart>
  <c:spPr>
    <a:ln w="9525"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5004.89</c:v>
                </c:pt>
                <c:pt idx="1">
                  <c:v>2160.19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2f20ba73-a8eb-4be9-b646-8040292bdc13}"/>
      </c:ext>
    </c:extLst>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财政拨款收、支决算总计变动情况</a:t>
            </a:r>
            <a:endParaRPr lang="en-US" altLang="zh-CN"/>
          </a:p>
        </c:rich>
      </c:tx>
      <c:layout>
        <c:manualLayout>
          <c:xMode val="edge"/>
          <c:yMode val="edge"/>
          <c:x val="0.123103685600581"/>
          <c:y val="0.0330237358101135"/>
        </c:manualLayout>
      </c:layout>
      <c:overlay val="0"/>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3952.48</c:v>
                </c:pt>
                <c:pt idx="1">
                  <c:v>5279.1</c:v>
                </c:pt>
              </c:numCache>
            </c:numRef>
          </c:val>
        </c:ser>
        <c:dLbls>
          <c:showLegendKey val="0"/>
          <c:showVal val="0"/>
          <c:showCatName val="0"/>
          <c:showSerName val="0"/>
          <c:showPercent val="0"/>
          <c:showBubbleSize val="0"/>
        </c:dLbls>
        <c:gapWidth val="75"/>
        <c:overlap val="40"/>
        <c:axId val="465158912"/>
        <c:axId val="465160448"/>
      </c:barChart>
      <c:catAx>
        <c:axId val="46515891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5160448"/>
        <c:crosses val="autoZero"/>
        <c:auto val="1"/>
        <c:lblAlgn val="ctr"/>
        <c:lblOffset val="100"/>
        <c:noMultiLvlLbl val="0"/>
      </c:catAx>
      <c:valAx>
        <c:axId val="4651604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5158912"/>
        <c:crosses val="autoZero"/>
        <c:crossBetween val="between"/>
      </c:valAx>
    </c:plotArea>
    <c:plotVisOnly val="1"/>
    <c:dispBlanksAs val="gap"/>
    <c:showDLblsOverMax val="0"/>
    <c:extLst>
      <c:ext uri="{0b15fc19-7d7d-44ad-8c2d-2c3a37ce22c3}">
        <chartProps xmlns="https://web.wps.cn/et/2018/main" chartId="{0066a390-2715-40ce-ae0c-228f87e5554f}"/>
      </c:ext>
    </c:extLst>
  </c:chart>
  <c:spPr>
    <a:ln w="9525" cap="flat" cmpd="sng" algn="ctr">
      <a:noFill/>
      <a:prstDash val="solid"/>
      <a:round/>
    </a:ln>
  </c:spPr>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r>
              <a:rPr lang="zh-CN" altLang="zh-CN" sz="1800" b="1" i="0" u="none" strike="noStrike" baseline="0">
                <a:effectLst/>
              </a:rPr>
              <a:t>决算变动情况</a:t>
            </a:r>
            <a:endParaRPr lang="zh-CN" altLang="en-US"/>
          </a:p>
        </c:rich>
      </c:tx>
      <c:layout>
        <c:manualLayout>
          <c:xMode val="edge"/>
          <c:yMode val="edge"/>
          <c:x val="0.0152346570397112"/>
          <c:y val="0.0262454388323411"/>
        </c:manualLayout>
      </c:layout>
      <c:overlay val="0"/>
    </c:title>
    <c:autoTitleDeleted val="0"/>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3952.48</c:v>
                </c:pt>
                <c:pt idx="1">
                  <c:v>5279.1</c:v>
                </c:pt>
              </c:numCache>
            </c:numRef>
          </c:val>
        </c:ser>
        <c:dLbls>
          <c:showLegendKey val="0"/>
          <c:showVal val="0"/>
          <c:showCatName val="0"/>
          <c:showSerName val="0"/>
          <c:showPercent val="0"/>
          <c:showBubbleSize val="0"/>
        </c:dLbls>
        <c:gapWidth val="75"/>
        <c:overlap val="40"/>
        <c:axId val="465136640"/>
        <c:axId val="529060608"/>
      </c:barChart>
      <c:catAx>
        <c:axId val="46513664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9060608"/>
        <c:crosses val="autoZero"/>
        <c:auto val="1"/>
        <c:lblAlgn val="ctr"/>
        <c:lblOffset val="100"/>
        <c:noMultiLvlLbl val="0"/>
      </c:catAx>
      <c:valAx>
        <c:axId val="5290606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5136640"/>
        <c:crosses val="autoZero"/>
        <c:crossBetween val="between"/>
      </c:valAx>
    </c:plotArea>
    <c:plotVisOnly val="1"/>
    <c:dispBlanksAs val="gap"/>
    <c:showDLblsOverMax val="0"/>
    <c:extLst>
      <c:ext uri="{0b15fc19-7d7d-44ad-8c2d-2c3a37ce22c3}">
        <chartProps xmlns="https://web.wps.cn/et/2018/main" chartId="{5922b333-a50e-4e47-9be8-472524391ca0}"/>
      </c:ext>
    </c:extLst>
  </c:chart>
  <c:spPr>
    <a:ln w="9525" cap="flat" cmpd="sng" algn="ctr">
      <a:noFill/>
      <a:prstDash val="solid"/>
      <a:round/>
    </a:ln>
  </c:spPr>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列1</c:v>
                </c:pt>
              </c:strCache>
            </c:strRef>
          </c:tx>
          <c:explosion val="0"/>
          <c:dPt>
            <c:idx val="0"/>
            <c:bubble3D val="0"/>
          </c:dPt>
          <c:dPt>
            <c:idx val="1"/>
            <c:bubble3D val="0"/>
          </c:dPt>
          <c:dLbls>
            <c:dLbl>
              <c:idx val="0"/>
              <c:layout>
                <c:manualLayout>
                  <c:x val="-0.0035334192693369"/>
                  <c:y val="-0.32613245167558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7932203740805"/>
                  <c:y val="0.11363524310842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教育支出（类）</c:v>
                </c:pt>
                <c:pt idx="1">
                  <c:v>社会保障和就业（类）</c:v>
                </c:pt>
              </c:strCache>
            </c:strRef>
          </c:cat>
          <c:val>
            <c:numRef>
              <c:f>Sheet1!$B$2:$B$3</c:f>
              <c:numCache>
                <c:formatCode>General</c:formatCode>
                <c:ptCount val="2"/>
                <c:pt idx="0">
                  <c:v>5060.18</c:v>
                </c:pt>
                <c:pt idx="1">
                  <c:v>218.92</c:v>
                </c:pt>
              </c:numCache>
            </c:numRef>
          </c:val>
        </c:ser>
        <c:dLbls>
          <c:showLegendKey val="0"/>
          <c:showVal val="0"/>
          <c:showCatName val="1"/>
          <c:showSerName val="0"/>
          <c:showPercent val="1"/>
          <c:showBubbleSize val="0"/>
        </c:dLbls>
      </c:pie3DChart>
    </c:plotArea>
    <c:plotVisOnly val="1"/>
    <c:dispBlanksAs val="gap"/>
    <c:showDLblsOverMax val="0"/>
    <c:extLst>
      <c:ext uri="{0b15fc19-7d7d-44ad-8c2d-2c3a37ce22c3}">
        <chartProps xmlns="https://web.wps.cn/et/2018/main" chartId="{0b460520-b812-4879-8b3e-453fc69bd371}"/>
      </c:ext>
    </c:extLst>
  </c:chart>
  <c:spPr>
    <a:ln w="9525" cap="flat" cmpd="sng" algn="ctr">
      <a:noFill/>
      <a:prstDash val="solid"/>
      <a:round/>
    </a:ln>
  </c:spPr>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0.77264</cdr:x>
      <cdr:y>0.05338</cdr:y>
    </cdr:from>
    <cdr:to>
      <cdr:x>0.96781</cdr:x>
      <cdr:y>0.15658</cdr:y>
    </cdr:to>
    <cdr:sp>
      <cdr:nvSpPr>
        <cdr:cNvPr id="2" name="矩形 1"/>
        <cdr:cNvSpPr/>
      </cdr:nvSpPr>
      <cdr:spPr xmlns:a="http://schemas.openxmlformats.org/drawingml/2006/main">
        <a:xfrm xmlns:a="http://schemas.openxmlformats.org/drawingml/2006/main">
          <a:off x="3657599" y="142875"/>
          <a:ext cx="923925"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0.8099</cdr:x>
      <cdr:y>0.05066</cdr:y>
    </cdr:from>
    <cdr:to>
      <cdr:x>1</cdr:x>
      <cdr:y>0.13508</cdr:y>
    </cdr:to>
    <cdr:sp>
      <cdr:nvSpPr>
        <cdr:cNvPr id="2" name="矩形 1"/>
        <cdr:cNvSpPr/>
      </cdr:nvSpPr>
      <cdr:spPr xmlns:a="http://schemas.openxmlformats.org/drawingml/2006/main">
        <a:xfrm xmlns:a="http://schemas.openxmlformats.org/drawingml/2006/main">
          <a:off x="4274186" y="171450"/>
          <a:ext cx="1002664" cy="28575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0.81447</cdr:x>
      <cdr:y>0.05263</cdr:y>
    </cdr:from>
    <cdr:to>
      <cdr:x>1</cdr:x>
      <cdr:y>0.16409</cdr:y>
    </cdr:to>
    <cdr:sp>
      <cdr:nvSpPr>
        <cdr:cNvPr id="2" name="矩形 1"/>
        <cdr:cNvSpPr/>
      </cdr:nvSpPr>
      <cdr:spPr xmlns:a="http://schemas.openxmlformats.org/drawingml/2006/main">
        <a:xfrm xmlns:a="http://schemas.openxmlformats.org/drawingml/2006/main">
          <a:off x="4295775" y="161925"/>
          <a:ext cx="978535" cy="3429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4ABF-5CCF-4941-89B5-E9FC94EBA2F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6748</Words>
  <Characters>7175</Characters>
  <Lines>84</Lines>
  <Paragraphs>23</Paragraphs>
  <TotalTime>36</TotalTime>
  <ScaleCrop>false</ScaleCrop>
  <LinksUpToDate>false</LinksUpToDate>
  <CharactersWithSpaces>7292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2022-11-11T07:44:00Z</dcterms:created>
  <dc:creator>曹颖</dc:creator>
  <cp:lastModifiedBy>默</cp:lastModifiedBy>
  <cp:lastPrinted>2022-11-11T07:56:00Z</cp:lastPrinted>
  <dcterms:modified xsi:type="dcterms:W3CDTF">2025-02-28T07:21:52Z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eyJoZGlkIjoiNmJhYmUzMzI3YTE4MzU3ZDE2NDJhNTdlN2E3NWNhODgiLCJ1c2VySWQiOiI1ODU3OTYzMjEifQ==</vt:lpwstr>
  </property>
  <property fmtid="{D5CDD505-2E9C-101B-9397-08002B2CF9AE}" pid="4" name="ICV">
    <vt:lpwstr>5065A3D3DCDC468D89030EB51C13E69F_12</vt:lpwstr>
  </property>
</Properties>
</file>