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310DB">
      <w:pPr>
        <w:pStyle w:val="8"/>
        <w:spacing w:line="1600" w:lineRule="exact"/>
        <w:rPr>
          <w:rFonts w:eastAsia="方正小标宋简体"/>
          <w:color w:val="auto"/>
          <w:spacing w:val="-20"/>
          <w:w w:val="75"/>
          <w:sz w:val="84"/>
          <w:szCs w:val="84"/>
        </w:rPr>
      </w:pPr>
    </w:p>
    <w:p w14:paraId="42E0B8FD">
      <w:pPr>
        <w:pStyle w:val="8"/>
        <w:spacing w:line="1200" w:lineRule="exact"/>
        <w:rPr>
          <w:rFonts w:eastAsia="方正小标宋_GBK"/>
          <w:color w:val="auto"/>
          <w:spacing w:val="-8"/>
          <w:w w:val="58"/>
          <w:sz w:val="100"/>
          <w:szCs w:val="100"/>
        </w:rPr>
      </w:pPr>
      <w:r>
        <w:rPr>
          <w:rFonts w:eastAsia="方正小标宋_GBK"/>
          <w:color w:val="auto"/>
          <w:spacing w:val="-8"/>
          <w:w w:val="58"/>
          <w:sz w:val="100"/>
          <w:szCs w:val="100"/>
        </w:rPr>
        <w:t>四川省人力资源和社会保障厅文件</w:t>
      </w:r>
    </w:p>
    <w:p w14:paraId="3E9F0621">
      <w:pPr>
        <w:spacing w:line="900" w:lineRule="exact"/>
        <w:rPr>
          <w:color w:val="000000"/>
        </w:rPr>
      </w:pPr>
    </w:p>
    <w:p w14:paraId="6B058CDE">
      <w:pPr>
        <w:ind w:firstLine="0"/>
        <w:jc w:val="center"/>
        <w:outlineLvl w:val="0"/>
        <w:rPr>
          <w:color w:val="000000"/>
          <w:szCs w:val="32"/>
        </w:rPr>
      </w:pPr>
      <w:r>
        <w:rPr>
          <w:color w:val="000000"/>
          <w:szCs w:val="32"/>
        </w:rPr>
        <w:t>川人社规〔2023〕15号</w:t>
      </w:r>
    </w:p>
    <w:p w14:paraId="1A43DA3B">
      <w:pPr>
        <w:pStyle w:val="8"/>
        <w:spacing w:line="840" w:lineRule="exact"/>
        <w:ind w:right="-205" w:rightChars="-64"/>
        <w:outlineLvl w:val="0"/>
        <w:rPr>
          <w:rFonts w:eastAsia="仿宋_GB2312"/>
          <w:color w:val="000000"/>
        </w:rPr>
      </w:pPr>
      <w:r>
        <w:rPr>
          <w:rFonts w:eastAsia="方正小标宋简体"/>
          <w:color w:val="000000"/>
          <w:spacing w:val="-20"/>
          <w:sz w:val="84"/>
          <w:szCs w:val="84"/>
        </w:rPr>
        <w:pict>
          <v:line id="_x0000_s1026" o:spid="_x0000_s1026" o:spt="20" style="position:absolute;left:0pt;margin-left:-0.35pt;margin-top:1.65pt;height:0pt;width:442.2pt;z-index:251659264;mso-width-relative:page;mso-height-relative:page;" filled="f" stroked="t" coordsize="21600,21600">
            <v:path arrowok="t"/>
            <v:fill on="f" focussize="0,0"/>
            <v:stroke weight="2.25pt" color="#000000"/>
            <v:imagedata o:title=""/>
            <o:lock v:ext="edit" aspectratio="f"/>
          </v:line>
        </w:pict>
      </w:r>
    </w:p>
    <w:p w14:paraId="39DE021E">
      <w:pPr>
        <w:adjustRightInd w:val="0"/>
        <w:snapToGrid w:val="0"/>
        <w:spacing w:line="640" w:lineRule="exact"/>
        <w:ind w:firstLine="0"/>
        <w:jc w:val="center"/>
        <w:rPr>
          <w:rFonts w:eastAsia="方正小标宋_GBK"/>
          <w:color w:val="000000"/>
          <w:sz w:val="44"/>
          <w:szCs w:val="44"/>
        </w:rPr>
      </w:pPr>
      <w:r>
        <w:rPr>
          <w:rFonts w:eastAsia="方正小标宋_GBK"/>
          <w:color w:val="000000"/>
          <w:sz w:val="44"/>
          <w:szCs w:val="44"/>
        </w:rPr>
        <w:t>四川省人力资源和社会保障厅</w:t>
      </w:r>
    </w:p>
    <w:p w14:paraId="61F737D3">
      <w:pPr>
        <w:adjustRightInd w:val="0"/>
        <w:snapToGrid w:val="0"/>
        <w:spacing w:line="640" w:lineRule="exact"/>
        <w:ind w:firstLine="0"/>
        <w:jc w:val="center"/>
        <w:rPr>
          <w:rFonts w:eastAsia="方正小标宋_GBK"/>
          <w:color w:val="000000"/>
          <w:kern w:val="0"/>
          <w:sz w:val="44"/>
          <w:szCs w:val="44"/>
          <w:shd w:val="clear" w:color="auto" w:fill="FFFFFF"/>
        </w:rPr>
      </w:pPr>
      <w:r>
        <w:rPr>
          <w:rFonts w:eastAsia="方正小标宋_GBK"/>
          <w:color w:val="000000"/>
          <w:kern w:val="0"/>
          <w:sz w:val="44"/>
          <w:szCs w:val="44"/>
          <w:shd w:val="clear" w:color="auto" w:fill="FFFFFF"/>
        </w:rPr>
        <w:t>关于贯彻实施新时代技能人才职业技能</w:t>
      </w:r>
    </w:p>
    <w:p w14:paraId="76FFDBBA">
      <w:pPr>
        <w:adjustRightInd w:val="0"/>
        <w:snapToGrid w:val="0"/>
        <w:spacing w:line="640" w:lineRule="exact"/>
        <w:ind w:firstLine="0"/>
        <w:jc w:val="center"/>
        <w:rPr>
          <w:rFonts w:eastAsia="方正小标宋_GBK"/>
          <w:color w:val="000000"/>
          <w:kern w:val="0"/>
          <w:sz w:val="44"/>
          <w:szCs w:val="44"/>
          <w:shd w:val="clear" w:color="auto" w:fill="FFFFFF"/>
        </w:rPr>
      </w:pPr>
      <w:r>
        <w:rPr>
          <w:rFonts w:eastAsia="方正小标宋_GBK"/>
          <w:color w:val="000000"/>
          <w:kern w:val="0"/>
          <w:sz w:val="44"/>
          <w:szCs w:val="44"/>
          <w:shd w:val="clear" w:color="auto" w:fill="FFFFFF"/>
        </w:rPr>
        <w:t>等级制度的意见（试行）</w:t>
      </w:r>
    </w:p>
    <w:p w14:paraId="52267B6A">
      <w:pPr>
        <w:adjustRightInd w:val="0"/>
        <w:snapToGrid w:val="0"/>
        <w:spacing w:line="640" w:lineRule="exact"/>
        <w:ind w:firstLine="0"/>
        <w:jc w:val="center"/>
        <w:rPr>
          <w:color w:val="000000"/>
          <w:kern w:val="0"/>
          <w:szCs w:val="32"/>
          <w:shd w:val="clear" w:color="auto" w:fill="FFFFFF"/>
        </w:rPr>
      </w:pPr>
    </w:p>
    <w:p w14:paraId="1A25AE3F">
      <w:pPr>
        <w:adjustRightInd w:val="0"/>
        <w:snapToGrid w:val="0"/>
        <w:spacing w:line="600" w:lineRule="exact"/>
        <w:ind w:firstLine="0"/>
        <w:rPr>
          <w:color w:val="000000"/>
          <w:szCs w:val="32"/>
        </w:rPr>
      </w:pPr>
      <w:bookmarkStart w:id="0" w:name="_Hlk104826372"/>
      <w:r>
        <w:rPr>
          <w:color w:val="000000"/>
          <w:kern w:val="0"/>
          <w:szCs w:val="32"/>
          <w:shd w:val="clear" w:color="auto" w:fill="FFFFFF"/>
        </w:rPr>
        <w:t>各市（州）人力资源和社会保障局，有关单位：</w:t>
      </w:r>
    </w:p>
    <w:p w14:paraId="3356A154">
      <w:pPr>
        <w:adjustRightInd w:val="0"/>
        <w:snapToGrid w:val="0"/>
        <w:spacing w:line="600" w:lineRule="exact"/>
        <w:ind w:firstLine="640" w:firstLineChars="200"/>
        <w:rPr>
          <w:bCs/>
          <w:color w:val="000000"/>
          <w:szCs w:val="32"/>
        </w:rPr>
      </w:pPr>
      <w:r>
        <w:rPr>
          <w:bCs/>
          <w:color w:val="000000"/>
          <w:kern w:val="0"/>
          <w:szCs w:val="32"/>
          <w:shd w:val="clear" w:color="auto" w:fill="FFFFFF"/>
        </w:rPr>
        <w:t>为贯彻落实习近平总书记关于产业工人队伍建设和技能人才工作的一系列重要指示精神，</w:t>
      </w:r>
      <w:r>
        <w:rPr>
          <w:color w:val="000000"/>
          <w:kern w:val="0"/>
          <w:szCs w:val="32"/>
          <w:shd w:val="clear" w:color="auto" w:fill="FFFFFF"/>
        </w:rPr>
        <w:t>根据《关于加强新时代高技能人才队伍建设的意见》《中共四川省委人才工作领导小组印发〈关于加强新时代高技能人才队伍建设的实施意见〉的通知》（中共四川省委人才工作领导小组〔2023〕3号）、《人力资源社会保障部关于健全完善新时代技能人才职业技能等级制度的意见（试行）》（人社部发〔2022〕14号）</w:t>
      </w:r>
      <w:r>
        <w:rPr>
          <w:bCs/>
          <w:color w:val="000000"/>
          <w:kern w:val="0"/>
          <w:szCs w:val="32"/>
          <w:shd w:val="clear" w:color="auto" w:fill="FFFFFF"/>
        </w:rPr>
        <w:t>有关要求，</w:t>
      </w:r>
      <w:r>
        <w:rPr>
          <w:color w:val="000000"/>
          <w:kern w:val="0"/>
          <w:szCs w:val="32"/>
          <w:shd w:val="clear" w:color="auto" w:fill="FFFFFF"/>
        </w:rPr>
        <w:t>结合我省实际，</w:t>
      </w:r>
      <w:r>
        <w:rPr>
          <w:bCs/>
          <w:color w:val="000000"/>
          <w:kern w:val="0"/>
          <w:szCs w:val="32"/>
          <w:shd w:val="clear" w:color="auto" w:fill="FFFFFF"/>
        </w:rPr>
        <w:t>现就</w:t>
      </w:r>
      <w:r>
        <w:rPr>
          <w:color w:val="000000"/>
          <w:kern w:val="0"/>
          <w:szCs w:val="32"/>
          <w:shd w:val="clear" w:color="auto" w:fill="FFFFFF"/>
        </w:rPr>
        <w:t>我省贯彻实施</w:t>
      </w:r>
      <w:r>
        <w:rPr>
          <w:bCs/>
          <w:color w:val="000000"/>
          <w:kern w:val="0"/>
          <w:szCs w:val="32"/>
          <w:shd w:val="clear" w:color="auto" w:fill="FFFFFF"/>
        </w:rPr>
        <w:t>新时代技能人才职业技能等级制度提出如下意见。</w:t>
      </w:r>
    </w:p>
    <w:p w14:paraId="0538EA03">
      <w:pPr>
        <w:pStyle w:val="5"/>
        <w:keepNext w:val="0"/>
        <w:keepLines w:val="0"/>
        <w:adjustRightInd w:val="0"/>
        <w:snapToGrid w:val="0"/>
        <w:spacing w:before="0" w:after="0" w:line="576" w:lineRule="exact"/>
        <w:ind w:firstLine="640" w:firstLineChars="200"/>
        <w:rPr>
          <w:rFonts w:eastAsia="黑体"/>
          <w:b w:val="0"/>
          <w:color w:val="000000"/>
          <w:sz w:val="32"/>
          <w:szCs w:val="32"/>
        </w:rPr>
      </w:pPr>
      <w:r>
        <w:rPr>
          <w:rFonts w:eastAsia="黑体"/>
          <w:b w:val="0"/>
          <w:color w:val="000000"/>
          <w:sz w:val="32"/>
          <w:szCs w:val="32"/>
          <w:shd w:val="clear" w:color="auto" w:fill="FFFFFF"/>
        </w:rPr>
        <w:t>一、总体要求</w:t>
      </w:r>
    </w:p>
    <w:p w14:paraId="2D76B36F">
      <w:pPr>
        <w:adjustRightInd w:val="0"/>
        <w:snapToGrid w:val="0"/>
        <w:spacing w:line="576" w:lineRule="exact"/>
        <w:ind w:firstLine="640" w:firstLineChars="200"/>
        <w:rPr>
          <w:rFonts w:eastAsia="楷体_GB2312"/>
          <w:bCs/>
          <w:color w:val="000000"/>
          <w:szCs w:val="32"/>
        </w:rPr>
      </w:pPr>
      <w:r>
        <w:rPr>
          <w:rFonts w:eastAsia="楷体_GB2312"/>
          <w:bCs/>
          <w:color w:val="000000"/>
          <w:kern w:val="0"/>
          <w:szCs w:val="32"/>
          <w:shd w:val="clear" w:color="auto" w:fill="FFFFFF"/>
        </w:rPr>
        <w:t>（一）指导思想</w:t>
      </w:r>
    </w:p>
    <w:p w14:paraId="68E25819">
      <w:pPr>
        <w:adjustRightInd w:val="0"/>
        <w:snapToGrid w:val="0"/>
        <w:spacing w:line="576" w:lineRule="exact"/>
        <w:ind w:firstLine="640" w:firstLineChars="200"/>
        <w:rPr>
          <w:bCs/>
          <w:snapToGrid w:val="0"/>
          <w:color w:val="000000"/>
          <w:kern w:val="0"/>
          <w:szCs w:val="32"/>
        </w:rPr>
      </w:pPr>
      <w:r>
        <w:rPr>
          <w:bCs/>
          <w:snapToGrid w:val="0"/>
          <w:color w:val="000000"/>
          <w:kern w:val="0"/>
          <w:szCs w:val="32"/>
          <w:shd w:val="clear" w:color="auto" w:fill="FFFFFF"/>
        </w:rPr>
        <w:t>以习近平新时代中国特色社会主义思想为指导，全面贯彻党的二十大和</w:t>
      </w:r>
      <w:r>
        <w:rPr>
          <w:szCs w:val="32"/>
        </w:rPr>
        <w:t>省委十二届一次、二次、三次、四次全会</w:t>
      </w:r>
      <w:bookmarkStart w:id="1" w:name="_GoBack"/>
      <w:bookmarkEnd w:id="1"/>
      <w:r>
        <w:rPr>
          <w:szCs w:val="32"/>
        </w:rPr>
        <w:t>精神</w:t>
      </w:r>
      <w:r>
        <w:rPr>
          <w:bCs/>
          <w:snapToGrid w:val="0"/>
          <w:color w:val="000000"/>
          <w:kern w:val="0"/>
          <w:szCs w:val="32"/>
          <w:shd w:val="clear" w:color="auto" w:fill="FFFFFF"/>
        </w:rPr>
        <w:t>，健全技能人才培养、使用、评价、激励制度，畅通技能人才职业发展通道，提高待遇水平，增强荣誉感获得感幸福感，吸引更多劳动者走技能成才、技能报国之路</w:t>
      </w:r>
      <w:r>
        <w:rPr>
          <w:snapToGrid w:val="0"/>
          <w:color w:val="000000"/>
          <w:kern w:val="0"/>
          <w:szCs w:val="32"/>
          <w:shd w:val="clear" w:color="auto" w:fill="FFFFFF"/>
        </w:rPr>
        <w:t>，不断壮大技能人才队伍，优化技能人才结构，提升技能人才素质</w:t>
      </w:r>
      <w:r>
        <w:rPr>
          <w:bCs/>
          <w:snapToGrid w:val="0"/>
          <w:color w:val="000000"/>
          <w:kern w:val="0"/>
          <w:szCs w:val="32"/>
          <w:shd w:val="clear" w:color="auto" w:fill="FFFFFF"/>
        </w:rPr>
        <w:t>，缓解技能人才短缺问题，充分发挥技能人才在</w:t>
      </w:r>
      <w:r>
        <w:rPr>
          <w:snapToGrid w:val="0"/>
          <w:color w:val="000000"/>
          <w:kern w:val="0"/>
          <w:szCs w:val="32"/>
          <w:shd w:val="clear" w:color="auto" w:fill="FFFFFF"/>
        </w:rPr>
        <w:t>我省</w:t>
      </w:r>
      <w:r>
        <w:rPr>
          <w:bCs/>
          <w:snapToGrid w:val="0"/>
          <w:color w:val="000000"/>
          <w:kern w:val="0"/>
          <w:szCs w:val="32"/>
          <w:shd w:val="clear" w:color="auto" w:fill="FFFFFF"/>
        </w:rPr>
        <w:t>经济社会高质量发展中的重要作用，为全面</w:t>
      </w:r>
      <w:r>
        <w:rPr>
          <w:rFonts w:hint="eastAsia"/>
          <w:bCs/>
          <w:snapToGrid w:val="0"/>
          <w:color w:val="000000"/>
          <w:kern w:val="0"/>
          <w:szCs w:val="32"/>
          <w:shd w:val="clear" w:color="auto" w:fill="FFFFFF"/>
          <w:lang w:eastAsia="zh-CN"/>
        </w:rPr>
        <w:t>社会主义现代化建设</w:t>
      </w:r>
      <w:r>
        <w:rPr>
          <w:snapToGrid w:val="0"/>
          <w:color w:val="000000"/>
          <w:kern w:val="0"/>
          <w:szCs w:val="32"/>
          <w:shd w:val="clear" w:color="auto" w:fill="FFFFFF"/>
        </w:rPr>
        <w:t>四川</w:t>
      </w:r>
      <w:r>
        <w:rPr>
          <w:bCs/>
          <w:snapToGrid w:val="0"/>
          <w:color w:val="000000"/>
          <w:kern w:val="0"/>
          <w:szCs w:val="32"/>
          <w:shd w:val="clear" w:color="auto" w:fill="FFFFFF"/>
        </w:rPr>
        <w:t>提供有力的人才和技能支撑。</w:t>
      </w:r>
    </w:p>
    <w:p w14:paraId="28356DA4">
      <w:pPr>
        <w:adjustRightInd w:val="0"/>
        <w:snapToGrid w:val="0"/>
        <w:spacing w:line="576" w:lineRule="exact"/>
        <w:ind w:firstLine="640" w:firstLineChars="200"/>
        <w:rPr>
          <w:rFonts w:eastAsia="楷体_GB2312"/>
          <w:bCs/>
          <w:color w:val="000000"/>
          <w:kern w:val="0"/>
          <w:szCs w:val="32"/>
          <w:shd w:val="clear" w:color="auto" w:fill="FFFFFF"/>
        </w:rPr>
      </w:pPr>
      <w:r>
        <w:rPr>
          <w:rFonts w:eastAsia="楷体_GB2312"/>
          <w:bCs/>
          <w:color w:val="000000"/>
          <w:kern w:val="0"/>
          <w:szCs w:val="32"/>
          <w:shd w:val="clear" w:color="auto" w:fill="FFFFFF"/>
        </w:rPr>
        <w:t>（二）基本原则</w:t>
      </w:r>
    </w:p>
    <w:p w14:paraId="2A7A1254">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shd w:val="clear" w:color="auto" w:fill="FFFFFF"/>
        </w:rPr>
        <w:t>——坚持能力为本。围绕</w:t>
      </w:r>
      <w:r>
        <w:rPr>
          <w:rFonts w:ascii="Times New Roman" w:hAnsi="Times New Roman" w:eastAsia="仿宋_GB2312" w:cs="Times New Roman"/>
          <w:color w:val="000000"/>
          <w:sz w:val="32"/>
          <w:szCs w:val="32"/>
          <w:shd w:val="clear" w:color="auto" w:fill="FFFFFF"/>
        </w:rPr>
        <w:t>我省</w:t>
      </w:r>
      <w:r>
        <w:rPr>
          <w:rFonts w:ascii="Times New Roman" w:hAnsi="Times New Roman" w:eastAsia="仿宋_GB2312" w:cs="Times New Roman"/>
          <w:bCs/>
          <w:color w:val="000000"/>
          <w:sz w:val="32"/>
          <w:szCs w:val="32"/>
          <w:shd w:val="clear" w:color="auto" w:fill="FFFFFF"/>
        </w:rPr>
        <w:t>经济社会发展对技能人才的需求，充分发挥评价“指挥棒”作用，引导各级各类职业技能培训机构培训方向，激发技能人才参加职业技能培训的内生动力。</w:t>
      </w:r>
    </w:p>
    <w:p w14:paraId="18B98532">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shd w:val="clear" w:color="auto" w:fill="FFFFFF"/>
        </w:rPr>
        <w:t>——坚持科学评价。遵循技能人才成长规律，以品德、能力、业绩、贡献为导向，完善职业标准，创新评价方式，规范评价流程，坚持考评结合、逐级认定，客观公正评价。优秀的可</w:t>
      </w:r>
      <w:r>
        <w:rPr>
          <w:rFonts w:ascii="Times New Roman" w:hAnsi="Times New Roman" w:eastAsia="仿宋_GB2312" w:cs="Times New Roman"/>
          <w:color w:val="000000"/>
          <w:sz w:val="32"/>
          <w:szCs w:val="32"/>
          <w:shd w:val="clear" w:color="auto" w:fill="FFFFFF"/>
        </w:rPr>
        <w:t>破格或</w:t>
      </w:r>
      <w:r>
        <w:rPr>
          <w:rFonts w:ascii="Times New Roman" w:hAnsi="Times New Roman" w:eastAsia="仿宋_GB2312" w:cs="Times New Roman"/>
          <w:bCs/>
          <w:color w:val="000000"/>
          <w:sz w:val="32"/>
          <w:szCs w:val="32"/>
          <w:shd w:val="clear" w:color="auto" w:fill="FFFFFF"/>
        </w:rPr>
        <w:t>越级考评。</w:t>
      </w:r>
    </w:p>
    <w:p w14:paraId="75CC710F">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shd w:val="clear" w:color="auto" w:fill="FFFFFF"/>
        </w:rPr>
        <w:t>——坚持效果导向。聚焦技能人才职业发展中的“天花板”问题，完善职业技能等级（岗位）设置体系，畅通技能人才职业发展通道，延伸拓展其成长进步阶梯，推动形成人人学技能、有技能、长技能、比技能的技能型社会。</w:t>
      </w:r>
    </w:p>
    <w:p w14:paraId="314580B1">
      <w:pPr>
        <w:adjustRightInd w:val="0"/>
        <w:snapToGrid w:val="0"/>
        <w:spacing w:line="576" w:lineRule="exact"/>
        <w:ind w:firstLine="640" w:firstLineChars="200"/>
        <w:rPr>
          <w:bCs/>
          <w:color w:val="000000"/>
          <w:szCs w:val="32"/>
        </w:rPr>
      </w:pPr>
      <w:r>
        <w:rPr>
          <w:bCs/>
          <w:color w:val="000000"/>
          <w:kern w:val="0"/>
          <w:szCs w:val="32"/>
          <w:shd w:val="clear" w:color="auto" w:fill="FFFFFF"/>
        </w:rPr>
        <w:t>——坚持岗位使用。围绕用好用活人才，完善促进技能人才发展的政策</w:t>
      </w:r>
      <w:r>
        <w:rPr>
          <w:color w:val="000000"/>
          <w:kern w:val="0"/>
          <w:szCs w:val="32"/>
          <w:shd w:val="clear" w:color="auto" w:fill="FFFFFF"/>
        </w:rPr>
        <w:t>激励</w:t>
      </w:r>
      <w:r>
        <w:rPr>
          <w:bCs/>
          <w:color w:val="000000"/>
          <w:kern w:val="0"/>
          <w:szCs w:val="32"/>
          <w:shd w:val="clear" w:color="auto" w:fill="FFFFFF"/>
        </w:rPr>
        <w:t>措施，营造有利于技能人才成长和发挥作用的制度环境，让更多技能人才立足岗位，钻研技能，执着专注，实现岗位成才。</w:t>
      </w:r>
    </w:p>
    <w:p w14:paraId="1439F586">
      <w:pPr>
        <w:adjustRightInd w:val="0"/>
        <w:snapToGrid w:val="0"/>
        <w:spacing w:line="576" w:lineRule="exact"/>
        <w:ind w:firstLine="640" w:firstLineChars="200"/>
        <w:rPr>
          <w:rFonts w:eastAsia="楷体_GB2312"/>
          <w:bCs/>
          <w:color w:val="000000"/>
          <w:kern w:val="0"/>
          <w:szCs w:val="32"/>
          <w:shd w:val="clear" w:color="auto" w:fill="FFFFFF"/>
        </w:rPr>
      </w:pPr>
      <w:r>
        <w:rPr>
          <w:rFonts w:eastAsia="楷体_GB2312"/>
          <w:bCs/>
          <w:color w:val="000000"/>
          <w:kern w:val="0"/>
          <w:szCs w:val="32"/>
          <w:shd w:val="clear" w:color="auto" w:fill="FFFFFF"/>
        </w:rPr>
        <w:t>（三）目标任务</w:t>
      </w:r>
    </w:p>
    <w:p w14:paraId="3DB5D729">
      <w:pPr>
        <w:adjustRightInd w:val="0"/>
        <w:snapToGrid w:val="0"/>
        <w:spacing w:line="576" w:lineRule="exact"/>
        <w:ind w:firstLine="640" w:firstLineChars="200"/>
        <w:rPr>
          <w:bCs/>
          <w:color w:val="000000"/>
          <w:szCs w:val="32"/>
        </w:rPr>
      </w:pPr>
      <w:r>
        <w:rPr>
          <w:bCs/>
          <w:color w:val="000000"/>
          <w:kern w:val="0"/>
          <w:szCs w:val="32"/>
          <w:shd w:val="clear" w:color="auto" w:fill="FFFFFF"/>
        </w:rPr>
        <w:t>“十四五”期末，在以技能人员为主体的规模以上企业和其他用人单位（以下简称用人单位）中，全面推行职业技能等级认定，</w:t>
      </w:r>
      <w:r>
        <w:rPr>
          <w:color w:val="000000"/>
          <w:kern w:val="0"/>
          <w:szCs w:val="32"/>
          <w:shd w:val="clear" w:color="auto" w:fill="FFFFFF"/>
        </w:rPr>
        <w:t>全面贯彻实施</w:t>
      </w:r>
      <w:r>
        <w:rPr>
          <w:bCs/>
          <w:color w:val="000000"/>
          <w:kern w:val="0"/>
          <w:szCs w:val="32"/>
          <w:shd w:val="clear" w:color="auto" w:fill="FFFFFF"/>
        </w:rPr>
        <w:t>与国家职业资格制度相衔接、与终身职业技能培训制度相适应，并与使用相结合、与待遇相匹配的新时代技能人才职业技能等级制度。涌现一大批高技能领军人才、大国工匠、能工巧匠，高端带动作用不断增强，引领集聚效应不断扩展，</w:t>
      </w:r>
      <w:r>
        <w:rPr>
          <w:color w:val="000000"/>
          <w:kern w:val="0"/>
          <w:szCs w:val="32"/>
          <w:shd w:val="clear" w:color="auto" w:fill="FFFFFF"/>
        </w:rPr>
        <w:t>加快</w:t>
      </w:r>
      <w:r>
        <w:rPr>
          <w:bCs/>
          <w:color w:val="000000"/>
          <w:kern w:val="0"/>
          <w:szCs w:val="32"/>
          <w:shd w:val="clear" w:color="auto" w:fill="FFFFFF"/>
        </w:rPr>
        <w:t>培养造就一支数量充足、结构合理、等级清晰、素质优良</w:t>
      </w:r>
      <w:r>
        <w:rPr>
          <w:color w:val="000000"/>
          <w:kern w:val="0"/>
          <w:szCs w:val="32"/>
          <w:shd w:val="clear" w:color="auto" w:fill="FFFFFF"/>
        </w:rPr>
        <w:t>、爱岗敬业</w:t>
      </w:r>
      <w:r>
        <w:rPr>
          <w:bCs/>
          <w:color w:val="000000"/>
          <w:kern w:val="0"/>
          <w:szCs w:val="32"/>
          <w:shd w:val="clear" w:color="auto" w:fill="FFFFFF"/>
        </w:rPr>
        <w:t>的产业工人队伍。</w:t>
      </w:r>
    </w:p>
    <w:p w14:paraId="2B21E8C1">
      <w:pPr>
        <w:adjustRightInd w:val="0"/>
        <w:snapToGrid w:val="0"/>
        <w:spacing w:line="576" w:lineRule="exact"/>
        <w:ind w:firstLine="640" w:firstLineChars="200"/>
        <w:rPr>
          <w:rFonts w:eastAsia="黑体"/>
          <w:bCs/>
          <w:color w:val="000000"/>
          <w:kern w:val="0"/>
          <w:szCs w:val="32"/>
          <w:shd w:val="clear" w:color="auto" w:fill="FFFFFF"/>
        </w:rPr>
      </w:pPr>
      <w:r>
        <w:rPr>
          <w:rFonts w:eastAsia="黑体"/>
          <w:bCs/>
          <w:color w:val="000000"/>
          <w:kern w:val="0"/>
          <w:szCs w:val="32"/>
          <w:shd w:val="clear" w:color="auto" w:fill="FFFFFF"/>
        </w:rPr>
        <w:t>二、健全职业技能等级制度体系</w:t>
      </w:r>
    </w:p>
    <w:p w14:paraId="4B8A1BC8">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（四）全面推行职业技能等级制度。</w:t>
      </w:r>
      <w:r>
        <w:rPr>
          <w:bCs/>
          <w:color w:val="000000"/>
          <w:kern w:val="0"/>
          <w:szCs w:val="32"/>
          <w:shd w:val="clear" w:color="auto" w:fill="FFFFFF"/>
        </w:rPr>
        <w:t>实行技能人才职业技能等级制度，由用人单位</w:t>
      </w:r>
      <w:r>
        <w:rPr>
          <w:color w:val="000000"/>
          <w:kern w:val="0"/>
          <w:szCs w:val="32"/>
          <w:shd w:val="clear" w:color="auto" w:fill="FFFFFF"/>
        </w:rPr>
        <w:t>、院校</w:t>
      </w:r>
      <w:r>
        <w:rPr>
          <w:bCs/>
          <w:color w:val="000000"/>
          <w:kern w:val="0"/>
          <w:szCs w:val="32"/>
          <w:shd w:val="clear" w:color="auto" w:fill="FFFFFF"/>
        </w:rPr>
        <w:t>和社会评价机构按照</w:t>
      </w:r>
      <w:r>
        <w:rPr>
          <w:color w:val="000000"/>
          <w:kern w:val="0"/>
          <w:szCs w:val="32"/>
          <w:shd w:val="clear" w:color="auto" w:fill="FFFFFF"/>
        </w:rPr>
        <w:t>《国家职业技能标准》等</w:t>
      </w:r>
      <w:r>
        <w:rPr>
          <w:bCs/>
          <w:color w:val="000000"/>
          <w:kern w:val="0"/>
          <w:szCs w:val="32"/>
          <w:shd w:val="clear" w:color="auto" w:fill="FFFFFF"/>
        </w:rPr>
        <w:t>有关规定实施职业技能等级认定，使有技能等级晋升需求的人员均有机会得到技能评价。对</w:t>
      </w:r>
      <w:r>
        <w:rPr>
          <w:color w:val="000000"/>
          <w:kern w:val="0"/>
          <w:szCs w:val="32"/>
          <w:shd w:val="clear" w:color="auto" w:fill="FFFFFF"/>
        </w:rPr>
        <w:t>《国家职业资格目录》内</w:t>
      </w:r>
      <w:r>
        <w:rPr>
          <w:bCs/>
          <w:color w:val="000000"/>
          <w:kern w:val="0"/>
          <w:szCs w:val="32"/>
          <w:shd w:val="clear" w:color="auto" w:fill="FFFFFF"/>
        </w:rPr>
        <w:t>的</w:t>
      </w:r>
      <w:r>
        <w:rPr>
          <w:color w:val="000000"/>
          <w:kern w:val="0"/>
          <w:szCs w:val="32"/>
          <w:shd w:val="clear" w:color="auto" w:fill="FFFFFF"/>
        </w:rPr>
        <w:t>技能类</w:t>
      </w:r>
      <w:r>
        <w:rPr>
          <w:bCs/>
          <w:color w:val="000000"/>
          <w:kern w:val="0"/>
          <w:szCs w:val="32"/>
          <w:shd w:val="clear" w:color="auto" w:fill="FFFFFF"/>
        </w:rPr>
        <w:t>职业（工种），</w:t>
      </w:r>
      <w:r>
        <w:rPr>
          <w:color w:val="000000"/>
          <w:kern w:val="0"/>
          <w:szCs w:val="32"/>
          <w:shd w:val="clear" w:color="auto" w:fill="FFFFFF"/>
        </w:rPr>
        <w:t>按规定实行</w:t>
      </w:r>
      <w:r>
        <w:rPr>
          <w:bCs/>
          <w:color w:val="000000"/>
          <w:kern w:val="0"/>
          <w:szCs w:val="32"/>
          <w:shd w:val="clear" w:color="auto" w:fill="FFFFFF"/>
        </w:rPr>
        <w:t>职业资格</w:t>
      </w:r>
      <w:r>
        <w:rPr>
          <w:color w:val="000000"/>
          <w:kern w:val="0"/>
          <w:szCs w:val="32"/>
          <w:shd w:val="clear" w:color="auto" w:fill="FFFFFF"/>
        </w:rPr>
        <w:t>准入，</w:t>
      </w:r>
      <w:r>
        <w:rPr>
          <w:kern w:val="0"/>
          <w:szCs w:val="32"/>
          <w:shd w:val="clear" w:color="auto" w:fill="FFFFFF"/>
        </w:rPr>
        <w:t>由经人力资源社会保障部门备案的职业技能评价机构实施职业技能评价，并做好与职业技能等级认定的衔接</w:t>
      </w:r>
      <w:r>
        <w:rPr>
          <w:bCs/>
          <w:kern w:val="0"/>
          <w:szCs w:val="32"/>
          <w:shd w:val="clear" w:color="auto" w:fill="FFFFFF"/>
        </w:rPr>
        <w:t>。</w:t>
      </w:r>
      <w:r>
        <w:rPr>
          <w:color w:val="000000"/>
          <w:kern w:val="0"/>
          <w:szCs w:val="32"/>
          <w:shd w:val="clear" w:color="auto" w:fill="FFFFFF"/>
        </w:rPr>
        <w:t>对尚未纳入</w:t>
      </w:r>
      <w:r>
        <w:rPr>
          <w:kern w:val="0"/>
          <w:szCs w:val="32"/>
          <w:shd w:val="clear" w:color="auto" w:fill="FFFFFF"/>
        </w:rPr>
        <w:t>《中华人民共和国职业分类大典》</w:t>
      </w:r>
      <w:r>
        <w:rPr>
          <w:color w:val="000000"/>
          <w:kern w:val="0"/>
          <w:szCs w:val="32"/>
          <w:shd w:val="clear" w:color="auto" w:fill="FFFFFF"/>
        </w:rPr>
        <w:t>，但符合</w:t>
      </w:r>
      <w:r>
        <w:rPr>
          <w:szCs w:val="32"/>
        </w:rPr>
        <w:t>新产业、新业态发展和乡村振兴等工作需要，市场需求大、可就业创业的最小技能单元（模块），可由省职业技能鉴定指导中心、中央驻川单位或省级行业组织进行可行性研究，向人力资源社会保障厅提出专项职业能力考核项目开发申请，经审核通过后，按照国家要求开发专项职业能力考核规范，按规定备案通过后，由经人力资源社会保障部门备案的评价机构开展考核评价</w:t>
      </w:r>
      <w:r>
        <w:rPr>
          <w:color w:val="000000"/>
          <w:kern w:val="0"/>
          <w:szCs w:val="32"/>
          <w:shd w:val="clear" w:color="auto" w:fill="FFFFFF"/>
        </w:rPr>
        <w:t>。鼓励和支持经各级人力资源社会保障部门备案通过的高等学校、技工院校、职业院校面向本校在校学生组织开展技能评价。</w:t>
      </w:r>
    </w:p>
    <w:p w14:paraId="78EEEB15">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（五）健全技能岗位等级设置。</w:t>
      </w:r>
      <w:r>
        <w:rPr>
          <w:bCs/>
          <w:color w:val="000000"/>
          <w:kern w:val="0"/>
          <w:szCs w:val="32"/>
          <w:shd w:val="clear" w:color="auto" w:fill="FFFFFF"/>
        </w:rPr>
        <w:t>企业根据技术技能发展水平等情况，结合实际，在现有职业技能等级设置的基础上适当增加或调整技能等级。对设有高级技师的职业（工种），可在其上增设特级技师和首席技师技术职务（岗位），在初级工之下补设学徒工，形成由学徒工、初级工、中级工、高级工、技师、高级技师、特级技师、首席技师构成的职业技能等级（岗位）序列。行业企业根据自身特点，考虑历史沿用、约定俗成等因素，对上述技能等级名称可使用不同称谓，并明确其与相应技能等级的对应关系。</w:t>
      </w:r>
    </w:p>
    <w:p w14:paraId="169DEEFB">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（六）完善职业标准体系。</w:t>
      </w:r>
      <w:r>
        <w:rPr>
          <w:color w:val="000000"/>
          <w:kern w:val="0"/>
          <w:szCs w:val="32"/>
          <w:shd w:val="clear" w:color="auto" w:fill="FFFFFF"/>
        </w:rPr>
        <w:t>贯彻实施</w:t>
      </w:r>
      <w:r>
        <w:rPr>
          <w:bCs/>
          <w:color w:val="000000"/>
          <w:kern w:val="0"/>
          <w:szCs w:val="32"/>
          <w:shd w:val="clear" w:color="auto" w:fill="FFFFFF"/>
        </w:rPr>
        <w:t>由职业技能标准、评价规范、专项职业能力考核规范等构成的多层次、相互衔接、国际可比的职业标准体系。以满足人力资源管理需要和职业教育培训、技能评价需要为目标，按照职业</w:t>
      </w:r>
      <w:r>
        <w:rPr>
          <w:color w:val="000000"/>
          <w:kern w:val="0"/>
          <w:szCs w:val="32"/>
          <w:shd w:val="clear" w:color="auto" w:fill="FFFFFF"/>
        </w:rPr>
        <w:t>技能</w:t>
      </w:r>
      <w:r>
        <w:rPr>
          <w:bCs/>
          <w:color w:val="000000"/>
          <w:kern w:val="0"/>
          <w:szCs w:val="32"/>
          <w:shd w:val="clear" w:color="auto" w:fill="FFFFFF"/>
        </w:rPr>
        <w:t>标准编制技术规程确定的原则和要求开发职业</w:t>
      </w:r>
      <w:r>
        <w:rPr>
          <w:color w:val="000000"/>
          <w:kern w:val="0"/>
          <w:szCs w:val="32"/>
          <w:shd w:val="clear" w:color="auto" w:fill="FFFFFF"/>
        </w:rPr>
        <w:t>技能</w:t>
      </w:r>
      <w:r>
        <w:rPr>
          <w:bCs/>
          <w:color w:val="000000"/>
          <w:kern w:val="0"/>
          <w:szCs w:val="32"/>
          <w:shd w:val="clear" w:color="auto" w:fill="FFFFFF"/>
        </w:rPr>
        <w:t>标准、评价规范</w:t>
      </w:r>
      <w:r>
        <w:rPr>
          <w:color w:val="000000"/>
          <w:kern w:val="0"/>
          <w:szCs w:val="32"/>
          <w:shd w:val="clear" w:color="auto" w:fill="FFFFFF"/>
        </w:rPr>
        <w:t>和专项职业能力考核规范</w:t>
      </w:r>
      <w:r>
        <w:rPr>
          <w:bCs/>
          <w:color w:val="000000"/>
          <w:kern w:val="0"/>
          <w:szCs w:val="32"/>
          <w:shd w:val="clear" w:color="auto" w:fill="FFFFFF"/>
        </w:rPr>
        <w:t>，并将职业道德、职业操守和劳模精神、劳动精神、工匠精神等要求纳入其中。</w:t>
      </w:r>
      <w:r>
        <w:rPr>
          <w:color w:val="000000"/>
          <w:kern w:val="0"/>
          <w:szCs w:val="32"/>
          <w:shd w:val="clear" w:color="auto" w:fill="FFFFFF"/>
        </w:rPr>
        <w:t>联合有关行业部门，</w:t>
      </w:r>
      <w:r>
        <w:rPr>
          <w:bCs/>
          <w:color w:val="000000"/>
          <w:kern w:val="0"/>
          <w:szCs w:val="32"/>
          <w:shd w:val="clear" w:color="auto" w:fill="FFFFFF"/>
        </w:rPr>
        <w:t>依托行业组织、龙头企业和院校等</w:t>
      </w:r>
      <w:r>
        <w:rPr>
          <w:color w:val="000000"/>
          <w:kern w:val="0"/>
          <w:szCs w:val="32"/>
          <w:shd w:val="clear" w:color="auto" w:fill="FFFFFF"/>
        </w:rPr>
        <w:t>，积极承接国家</w:t>
      </w:r>
      <w:r>
        <w:rPr>
          <w:bCs/>
          <w:color w:val="000000"/>
          <w:kern w:val="0"/>
          <w:szCs w:val="32"/>
          <w:shd w:val="clear" w:color="auto" w:fill="FFFFFF"/>
        </w:rPr>
        <w:t>职业</w:t>
      </w:r>
      <w:r>
        <w:rPr>
          <w:color w:val="000000"/>
          <w:kern w:val="0"/>
          <w:szCs w:val="32"/>
          <w:shd w:val="clear" w:color="auto" w:fill="FFFFFF"/>
        </w:rPr>
        <w:t>技能</w:t>
      </w:r>
      <w:r>
        <w:rPr>
          <w:bCs/>
          <w:color w:val="000000"/>
          <w:kern w:val="0"/>
          <w:szCs w:val="32"/>
          <w:shd w:val="clear" w:color="auto" w:fill="FFFFFF"/>
        </w:rPr>
        <w:t>标准</w:t>
      </w:r>
      <w:r>
        <w:rPr>
          <w:color w:val="000000"/>
          <w:kern w:val="0"/>
          <w:szCs w:val="32"/>
          <w:shd w:val="clear" w:color="auto" w:fill="FFFFFF"/>
        </w:rPr>
        <w:t>开发</w:t>
      </w:r>
      <w:r>
        <w:rPr>
          <w:bCs/>
          <w:color w:val="000000"/>
          <w:kern w:val="0"/>
          <w:szCs w:val="32"/>
          <w:shd w:val="clear" w:color="auto" w:fill="FFFFFF"/>
        </w:rPr>
        <w:t>工</w:t>
      </w:r>
      <w:r>
        <w:rPr>
          <w:color w:val="000000"/>
          <w:kern w:val="0"/>
          <w:szCs w:val="32"/>
          <w:shd w:val="clear" w:color="auto" w:fill="FFFFFF"/>
        </w:rPr>
        <w:t>作，根据我省行业企业技能人才需求有序</w:t>
      </w:r>
      <w:r>
        <w:rPr>
          <w:bCs/>
          <w:color w:val="000000"/>
          <w:kern w:val="0"/>
          <w:szCs w:val="32"/>
          <w:shd w:val="clear" w:color="auto" w:fill="FFFFFF"/>
        </w:rPr>
        <w:t>开发</w:t>
      </w:r>
      <w:r>
        <w:rPr>
          <w:color w:val="000000"/>
          <w:kern w:val="0"/>
          <w:szCs w:val="32"/>
          <w:shd w:val="clear" w:color="auto" w:fill="FFFFFF"/>
        </w:rPr>
        <w:t>建设具有四川特色的</w:t>
      </w:r>
      <w:r>
        <w:rPr>
          <w:bCs/>
          <w:color w:val="000000"/>
          <w:kern w:val="0"/>
          <w:szCs w:val="32"/>
          <w:shd w:val="clear" w:color="auto" w:fill="FFFFFF"/>
        </w:rPr>
        <w:t>评价规范</w:t>
      </w:r>
      <w:r>
        <w:rPr>
          <w:color w:val="000000"/>
          <w:kern w:val="0"/>
          <w:szCs w:val="32"/>
          <w:shd w:val="clear" w:color="auto" w:fill="FFFFFF"/>
        </w:rPr>
        <w:t>，并鼓励各市（州）、行业开发专项能力考核规范。</w:t>
      </w:r>
    </w:p>
    <w:p w14:paraId="5FAEA86B">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（七）促进职业发展贯通。</w:t>
      </w:r>
      <w:r>
        <w:rPr>
          <w:rFonts w:ascii="Times New Roman" w:hAnsi="Times New Roman" w:eastAsia="仿宋_GB2312" w:cs="Times New Roman"/>
          <w:color w:val="000000"/>
          <w:sz w:val="32"/>
          <w:szCs w:val="32"/>
          <w:shd w:val="clear" w:color="auto" w:fill="FFFFFF"/>
        </w:rPr>
        <w:t>贯彻落实</w:t>
      </w:r>
      <w:r>
        <w:rPr>
          <w:rFonts w:ascii="Times New Roman" w:hAnsi="Times New Roman" w:eastAsia="仿宋_GB2312" w:cs="Times New Roman"/>
          <w:bCs/>
          <w:color w:val="000000"/>
          <w:sz w:val="32"/>
          <w:szCs w:val="32"/>
          <w:shd w:val="clear" w:color="auto" w:fill="FFFFFF"/>
        </w:rPr>
        <w:t>以职业分类为基础</w:t>
      </w:r>
      <w:r>
        <w:rPr>
          <w:rFonts w:ascii="Times New Roman" w:hAnsi="Times New Roman" w:eastAsia="仿宋_GB2312" w:cs="Times New Roman"/>
          <w:color w:val="000000"/>
          <w:sz w:val="32"/>
          <w:szCs w:val="32"/>
          <w:shd w:val="clear" w:color="auto" w:fill="FFFFFF"/>
        </w:rPr>
        <w:t>的</w:t>
      </w:r>
      <w:r>
        <w:rPr>
          <w:rFonts w:ascii="Times New Roman" w:hAnsi="Times New Roman" w:eastAsia="仿宋_GB2312" w:cs="Times New Roman"/>
          <w:bCs/>
          <w:color w:val="000000"/>
          <w:sz w:val="32"/>
          <w:szCs w:val="32"/>
          <w:shd w:val="clear" w:color="auto" w:fill="FFFFFF"/>
        </w:rPr>
        <w:t>职业技能等级制度、职称制度、职业资格制度，并</w:t>
      </w:r>
      <w:r>
        <w:rPr>
          <w:rFonts w:ascii="Times New Roman" w:hAnsi="Times New Roman" w:eastAsia="仿宋_GB2312" w:cs="Times New Roman"/>
          <w:color w:val="000000"/>
          <w:sz w:val="32"/>
          <w:szCs w:val="32"/>
          <w:shd w:val="clear" w:color="auto" w:fill="FFFFFF"/>
        </w:rPr>
        <w:t>探索</w:t>
      </w:r>
      <w:r>
        <w:rPr>
          <w:rFonts w:ascii="Times New Roman" w:hAnsi="Times New Roman" w:eastAsia="仿宋_GB2312" w:cs="Times New Roman"/>
          <w:bCs/>
          <w:color w:val="000000"/>
          <w:sz w:val="32"/>
          <w:szCs w:val="32"/>
          <w:shd w:val="clear" w:color="auto" w:fill="FFFFFF"/>
        </w:rPr>
        <w:t>建立</w:t>
      </w:r>
      <w:r>
        <w:rPr>
          <w:rFonts w:ascii="Times New Roman" w:hAnsi="Times New Roman" w:eastAsia="仿宋_GB2312" w:cs="Times New Roman"/>
          <w:color w:val="000000"/>
          <w:sz w:val="32"/>
          <w:szCs w:val="32"/>
          <w:shd w:val="clear" w:color="auto" w:fill="FFFFFF"/>
        </w:rPr>
        <w:t>川渝、川藏等跨地区职业技能等级认定评价机构有效衔接、评估结果互通互认、技术资源共建共享机制，</w:t>
      </w:r>
      <w:r>
        <w:rPr>
          <w:rFonts w:ascii="Times New Roman" w:hAnsi="Times New Roman" w:eastAsia="仿宋_GB2312" w:cs="Times New Roman"/>
          <w:bCs/>
          <w:color w:val="000000"/>
          <w:sz w:val="32"/>
          <w:szCs w:val="32"/>
          <w:shd w:val="clear" w:color="auto" w:fill="FFFFFF"/>
        </w:rPr>
        <w:t>建立境外职业资格证书认可清单制度，避免交叉重复设置和评价，降低社会用人成本。鼓励专业技术人才参加职业技能评价</w:t>
      </w:r>
      <w:r>
        <w:rPr>
          <w:rFonts w:ascii="Times New Roman" w:hAnsi="Times New Roman" w:eastAsia="仿宋_GB2312" w:cs="Times New Roman"/>
          <w:color w:val="000000"/>
          <w:sz w:val="32"/>
          <w:szCs w:val="32"/>
          <w:shd w:val="clear" w:color="auto" w:fill="FFFFFF"/>
        </w:rPr>
        <w:t>，支持高技能人才参加职称评定，逐步扩大贯通领域</w:t>
      </w:r>
      <w:r>
        <w:rPr>
          <w:rFonts w:ascii="Times New Roman" w:hAnsi="Times New Roman" w:eastAsia="仿宋_GB2312" w:cs="Times New Roman"/>
          <w:bCs/>
          <w:color w:val="000000"/>
          <w:sz w:val="32"/>
          <w:szCs w:val="32"/>
          <w:shd w:val="clear" w:color="auto" w:fill="FFFFFF"/>
        </w:rPr>
        <w:t>。探索在数字经济</w:t>
      </w:r>
      <w:r>
        <w:rPr>
          <w:rFonts w:ascii="Times New Roman" w:hAnsi="Times New Roman" w:eastAsia="仿宋_GB2312" w:cs="Times New Roman"/>
          <w:color w:val="000000"/>
          <w:sz w:val="32"/>
          <w:szCs w:val="32"/>
          <w:shd w:val="clear" w:color="auto" w:fill="FFFFFF"/>
        </w:rPr>
        <w:t>等</w:t>
      </w:r>
      <w:r>
        <w:rPr>
          <w:rFonts w:ascii="Times New Roman" w:hAnsi="Times New Roman" w:eastAsia="仿宋_GB2312" w:cs="Times New Roman"/>
          <w:bCs/>
          <w:color w:val="000000"/>
          <w:sz w:val="32"/>
          <w:szCs w:val="32"/>
          <w:shd w:val="clear" w:color="auto" w:fill="FFFFFF"/>
        </w:rPr>
        <w:t>领域促进技术技能人才融合发展。</w:t>
      </w:r>
    </w:p>
    <w:p w14:paraId="19BFD2CB">
      <w:pPr>
        <w:adjustRightInd w:val="0"/>
        <w:snapToGrid w:val="0"/>
        <w:spacing w:line="576" w:lineRule="exact"/>
        <w:ind w:firstLine="640" w:firstLineChars="200"/>
        <w:rPr>
          <w:rFonts w:eastAsia="黑体"/>
          <w:bCs/>
          <w:color w:val="000000"/>
          <w:szCs w:val="32"/>
        </w:rPr>
      </w:pPr>
      <w:r>
        <w:rPr>
          <w:rFonts w:eastAsia="黑体"/>
          <w:bCs/>
          <w:color w:val="000000"/>
          <w:kern w:val="0"/>
          <w:szCs w:val="32"/>
          <w:shd w:val="clear" w:color="auto" w:fill="FFFFFF"/>
        </w:rPr>
        <w:t>三、完善职业技能等级认定机制</w:t>
      </w:r>
    </w:p>
    <w:p w14:paraId="43AFBB06">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（八）实行分类考核评价。</w:t>
      </w:r>
      <w:r>
        <w:rPr>
          <w:bCs/>
          <w:color w:val="000000"/>
          <w:kern w:val="0"/>
          <w:szCs w:val="32"/>
          <w:shd w:val="clear" w:color="auto" w:fill="FFFFFF"/>
        </w:rPr>
        <w:t>用人单位、</w:t>
      </w:r>
      <w:r>
        <w:rPr>
          <w:color w:val="000000"/>
          <w:kern w:val="0"/>
          <w:szCs w:val="32"/>
          <w:shd w:val="clear" w:color="auto" w:fill="FFFFFF"/>
        </w:rPr>
        <w:t>院校</w:t>
      </w:r>
      <w:r>
        <w:rPr>
          <w:bCs/>
          <w:color w:val="000000"/>
          <w:kern w:val="0"/>
          <w:szCs w:val="32"/>
          <w:shd w:val="clear" w:color="auto" w:fill="FFFFFF"/>
        </w:rPr>
        <w:t>和社会评价机构要根据不同类型技能人才的工作特点，实行分类评价。在统一的职业标准体系框架基础上，对技术技能型人才的评价，要突出实际操作能力</w:t>
      </w:r>
      <w:r>
        <w:rPr>
          <w:color w:val="000000"/>
          <w:kern w:val="0"/>
          <w:szCs w:val="32"/>
          <w:shd w:val="clear" w:color="auto" w:fill="FFFFFF"/>
        </w:rPr>
        <w:t>、传承和改进传统手工技艺、</w:t>
      </w:r>
      <w:r>
        <w:rPr>
          <w:bCs/>
          <w:color w:val="000000"/>
          <w:kern w:val="0"/>
          <w:szCs w:val="32"/>
          <w:shd w:val="clear" w:color="auto" w:fill="FFFFFF"/>
        </w:rPr>
        <w:t>解决关键生产技术难题</w:t>
      </w:r>
      <w:r>
        <w:rPr>
          <w:color w:val="000000"/>
          <w:kern w:val="0"/>
          <w:szCs w:val="32"/>
          <w:shd w:val="clear" w:color="auto" w:fill="FFFFFF"/>
        </w:rPr>
        <w:t>、主动适应创新创造</w:t>
      </w:r>
      <w:r>
        <w:rPr>
          <w:bCs/>
          <w:color w:val="000000"/>
          <w:kern w:val="0"/>
          <w:szCs w:val="32"/>
          <w:shd w:val="clear" w:color="auto" w:fill="FFFFFF"/>
        </w:rPr>
        <w:t>等要素。对知识技能型人才的评价，要突出掌握运用理论知识指导生产实践、</w:t>
      </w:r>
      <w:r>
        <w:rPr>
          <w:color w:val="000000"/>
          <w:kern w:val="0"/>
          <w:szCs w:val="32"/>
          <w:shd w:val="clear" w:color="auto" w:fill="FFFFFF"/>
        </w:rPr>
        <w:t>把握新趋势新动态、自主学习行业新知识新技能、</w:t>
      </w:r>
      <w:r>
        <w:rPr>
          <w:bCs/>
          <w:color w:val="000000"/>
          <w:kern w:val="0"/>
          <w:szCs w:val="32"/>
          <w:shd w:val="clear" w:color="auto" w:fill="FFFFFF"/>
        </w:rPr>
        <w:t>创造性开展工作等要素。对复合技能型人才的评价，要突出掌握多项</w:t>
      </w:r>
      <w:r>
        <w:rPr>
          <w:color w:val="000000"/>
          <w:kern w:val="0"/>
          <w:szCs w:val="32"/>
          <w:shd w:val="clear" w:color="auto" w:fill="FFFFFF"/>
        </w:rPr>
        <w:t>知识</w:t>
      </w:r>
      <w:r>
        <w:rPr>
          <w:bCs/>
          <w:color w:val="000000"/>
          <w:kern w:val="0"/>
          <w:szCs w:val="32"/>
          <w:shd w:val="clear" w:color="auto" w:fill="FFFFFF"/>
        </w:rPr>
        <w:t>技能、从事多工种多岗位复杂工作</w:t>
      </w:r>
      <w:r>
        <w:rPr>
          <w:color w:val="000000"/>
          <w:kern w:val="0"/>
          <w:szCs w:val="32"/>
          <w:shd w:val="clear" w:color="auto" w:fill="FFFFFF"/>
        </w:rPr>
        <w:t>、</w:t>
      </w:r>
      <w:r>
        <w:rPr>
          <w:szCs w:val="32"/>
        </w:rPr>
        <w:t>解决复杂生产操作难题</w:t>
      </w:r>
      <w:r>
        <w:rPr>
          <w:bCs/>
          <w:color w:val="000000"/>
          <w:kern w:val="0"/>
          <w:szCs w:val="32"/>
          <w:shd w:val="clear" w:color="auto" w:fill="FFFFFF"/>
        </w:rPr>
        <w:t>等要素。</w:t>
      </w:r>
    </w:p>
    <w:p w14:paraId="11F3CE2D">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（九）</w:t>
      </w:r>
      <w:r>
        <w:rPr>
          <w:rFonts w:eastAsia="楷体_GB2312"/>
          <w:color w:val="000000"/>
          <w:kern w:val="0"/>
          <w:szCs w:val="32"/>
          <w:shd w:val="clear" w:color="auto" w:fill="FFFFFF"/>
        </w:rPr>
        <w:t>建立分级考核体系</w:t>
      </w:r>
      <w:r>
        <w:rPr>
          <w:rFonts w:eastAsia="楷体_GB2312"/>
          <w:bCs/>
          <w:color w:val="000000"/>
          <w:kern w:val="0"/>
          <w:szCs w:val="32"/>
          <w:shd w:val="clear" w:color="auto" w:fill="FFFFFF"/>
        </w:rPr>
        <w:t>。</w:t>
      </w:r>
      <w:r>
        <w:rPr>
          <w:bCs/>
          <w:color w:val="000000"/>
          <w:kern w:val="0"/>
          <w:szCs w:val="32"/>
          <w:shd w:val="clear" w:color="auto" w:fill="FFFFFF"/>
        </w:rPr>
        <w:t>学徒工的转正定级考核，由用人单位在其跟随师傅学习期满和试用期满后，依据本单位有关要求进行。参加中国特色企业新型学徒制的学员完</w:t>
      </w:r>
      <w:r>
        <w:rPr>
          <w:color w:val="000000"/>
          <w:kern w:val="0"/>
          <w:szCs w:val="32"/>
          <w:shd w:val="clear" w:color="auto" w:fill="FFFFFF"/>
        </w:rPr>
        <w:t>成所有培训学时或满足评价条件后，</w:t>
      </w:r>
      <w:r>
        <w:rPr>
          <w:bCs/>
          <w:color w:val="000000"/>
          <w:kern w:val="0"/>
          <w:szCs w:val="32"/>
          <w:shd w:val="clear" w:color="auto" w:fill="FFFFFF"/>
        </w:rPr>
        <w:t>按照培养目标进行考核定级。初级工、中级工、高级工、技师、高级技师等级考核是技能考核评价的主体，由用人单位和社会评价机构</w:t>
      </w:r>
      <w:r>
        <w:rPr>
          <w:color w:val="000000"/>
          <w:kern w:val="0"/>
          <w:szCs w:val="32"/>
          <w:shd w:val="clear" w:color="auto" w:fill="FFFFFF"/>
        </w:rPr>
        <w:t>依据《国家</w:t>
      </w:r>
      <w:r>
        <w:rPr>
          <w:bCs/>
          <w:color w:val="000000"/>
          <w:kern w:val="0"/>
          <w:szCs w:val="32"/>
          <w:shd w:val="clear" w:color="auto" w:fill="FFFFFF"/>
        </w:rPr>
        <w:t>职业</w:t>
      </w:r>
      <w:r>
        <w:rPr>
          <w:color w:val="000000"/>
          <w:kern w:val="0"/>
          <w:szCs w:val="32"/>
          <w:shd w:val="clear" w:color="auto" w:fill="FFFFFF"/>
        </w:rPr>
        <w:t>技能</w:t>
      </w:r>
      <w:r>
        <w:rPr>
          <w:bCs/>
          <w:color w:val="000000"/>
          <w:kern w:val="0"/>
          <w:szCs w:val="32"/>
          <w:shd w:val="clear" w:color="auto" w:fill="FFFFFF"/>
        </w:rPr>
        <w:t>标准</w:t>
      </w:r>
      <w:r>
        <w:rPr>
          <w:color w:val="000000"/>
          <w:kern w:val="0"/>
          <w:szCs w:val="32"/>
          <w:shd w:val="clear" w:color="auto" w:fill="FFFFFF"/>
        </w:rPr>
        <w:t>》、行业企业评价规范等，按照《四川省人力资源和社会保障厅关于全面推进职业技能等级认定工作的通知》（川人社规〔2022〕9号）等</w:t>
      </w:r>
      <w:r>
        <w:rPr>
          <w:bCs/>
          <w:color w:val="000000"/>
          <w:kern w:val="0"/>
          <w:szCs w:val="32"/>
          <w:shd w:val="clear" w:color="auto" w:fill="FFFFFF"/>
        </w:rPr>
        <w:t>有关规定进行。</w:t>
      </w:r>
      <w:r>
        <w:rPr>
          <w:color w:val="000000"/>
          <w:kern w:val="0"/>
          <w:szCs w:val="32"/>
          <w:shd w:val="clear" w:color="auto" w:fill="FFFFFF"/>
        </w:rPr>
        <w:t>完善职业技能竞赛管理制度体系，</w:t>
      </w:r>
      <w:r>
        <w:rPr>
          <w:bCs/>
          <w:color w:val="000000"/>
          <w:kern w:val="0"/>
          <w:szCs w:val="32"/>
          <w:shd w:val="clear" w:color="auto" w:fill="FFFFFF"/>
        </w:rPr>
        <w:t>鼓励支持采取以赛代评方式，依据职业</w:t>
      </w:r>
      <w:r>
        <w:rPr>
          <w:color w:val="000000"/>
          <w:kern w:val="0"/>
          <w:szCs w:val="32"/>
          <w:shd w:val="clear" w:color="auto" w:fill="FFFFFF"/>
        </w:rPr>
        <w:t>技能</w:t>
      </w:r>
      <w:r>
        <w:rPr>
          <w:bCs/>
          <w:color w:val="000000"/>
          <w:kern w:val="0"/>
          <w:szCs w:val="32"/>
          <w:shd w:val="clear" w:color="auto" w:fill="FFFFFF"/>
        </w:rPr>
        <w:t>标准举办的职业技能竞赛按照有关规定对获得优秀等次的选手晋升相应职业技能等级。</w:t>
      </w:r>
    </w:p>
    <w:p w14:paraId="7D51A8C6">
      <w:pPr>
        <w:adjustRightInd w:val="0"/>
        <w:snapToGrid w:val="0"/>
        <w:spacing w:line="576" w:lineRule="exact"/>
        <w:ind w:firstLine="640" w:firstLineChars="200"/>
        <w:rPr>
          <w:bCs/>
          <w:color w:val="000000"/>
          <w:szCs w:val="32"/>
        </w:rPr>
      </w:pPr>
      <w:r>
        <w:rPr>
          <w:bCs/>
          <w:color w:val="000000"/>
          <w:kern w:val="0"/>
          <w:szCs w:val="32"/>
          <w:shd w:val="clear" w:color="auto" w:fill="FFFFFF"/>
        </w:rPr>
        <w:t>首席技师、特级技师是在高技能人才中设置的</w:t>
      </w:r>
      <w:r>
        <w:rPr>
          <w:color w:val="000000"/>
          <w:kern w:val="0"/>
          <w:szCs w:val="32"/>
          <w:shd w:val="clear" w:color="auto" w:fill="FFFFFF"/>
        </w:rPr>
        <w:t>高技能等级和</w:t>
      </w:r>
      <w:r>
        <w:rPr>
          <w:bCs/>
          <w:color w:val="000000"/>
          <w:kern w:val="0"/>
          <w:szCs w:val="32"/>
          <w:shd w:val="clear" w:color="auto" w:fill="FFFFFF"/>
        </w:rPr>
        <w:t>高级技术职务（岗位），一般应在有高级技师的职业（工种）领域中设立，通过评聘的方式进行，实行岗位聘任制。</w:t>
      </w:r>
      <w:r>
        <w:rPr>
          <w:color w:val="000000"/>
          <w:kern w:val="0"/>
          <w:szCs w:val="32"/>
          <w:shd w:val="clear" w:color="auto" w:fill="FFFFFF"/>
        </w:rPr>
        <w:t>省级人力资源社会保障部门要指导用人单位</w:t>
      </w:r>
      <w:r>
        <w:rPr>
          <w:bCs/>
          <w:color w:val="000000"/>
          <w:kern w:val="0"/>
          <w:szCs w:val="32"/>
          <w:shd w:val="clear" w:color="auto" w:fill="FFFFFF"/>
        </w:rPr>
        <w:t>稳妥有序开展特级技师、首席技师评聘工作。</w:t>
      </w:r>
      <w:r>
        <w:rPr>
          <w:color w:val="000000"/>
          <w:kern w:val="0"/>
          <w:szCs w:val="32"/>
          <w:shd w:val="clear" w:color="auto" w:fill="FFFFFF"/>
        </w:rPr>
        <w:t>优先在全省“5＋1”现代工业、“10＋3”现代农业、“4＋6”现代服务业和经济社会发展急需、紧缺行业（领域）评聘出一批具有代表性的首席技师和特级技师。鼓励联合内外部专家共同开展首席技师和特级技师的推荐和评审，确保评聘结果受到地方和行业企业广泛认可，</w:t>
      </w:r>
      <w:r>
        <w:rPr>
          <w:bCs/>
          <w:color w:val="000000"/>
          <w:kern w:val="0"/>
          <w:szCs w:val="32"/>
          <w:shd w:val="clear" w:color="auto" w:fill="FFFFFF"/>
        </w:rPr>
        <w:t>不搞高级技师普遍晋升</w:t>
      </w:r>
      <w:r>
        <w:rPr>
          <w:color w:val="000000"/>
          <w:kern w:val="0"/>
          <w:szCs w:val="32"/>
          <w:shd w:val="clear" w:color="auto" w:fill="FFFFFF"/>
        </w:rPr>
        <w:t>。</w:t>
      </w:r>
      <w:r>
        <w:rPr>
          <w:bCs/>
          <w:color w:val="000000"/>
          <w:kern w:val="0"/>
          <w:szCs w:val="32"/>
          <w:shd w:val="clear" w:color="auto" w:fill="FFFFFF"/>
        </w:rPr>
        <w:t>对本意见印发前已开展高级技师以上评审工作的，按照本意见有关要求进行复核确认。</w:t>
      </w:r>
    </w:p>
    <w:p w14:paraId="2BD855EF">
      <w:pPr>
        <w:adjustRightInd w:val="0"/>
        <w:snapToGrid w:val="0"/>
        <w:spacing w:line="576" w:lineRule="exact"/>
        <w:ind w:firstLine="640" w:firstLineChars="200"/>
        <w:rPr>
          <w:bCs/>
          <w:color w:val="000000"/>
          <w:szCs w:val="32"/>
        </w:rPr>
      </w:pPr>
      <w:r>
        <w:rPr>
          <w:bCs/>
          <w:color w:val="000000"/>
          <w:kern w:val="0"/>
          <w:szCs w:val="32"/>
          <w:shd w:val="clear" w:color="auto" w:fill="FFFFFF"/>
        </w:rPr>
        <w:t>特级技师评聘工作要在工程技术领域</w:t>
      </w:r>
      <w:r>
        <w:rPr>
          <w:color w:val="000000"/>
          <w:kern w:val="0"/>
          <w:szCs w:val="32"/>
          <w:shd w:val="clear" w:color="auto" w:fill="FFFFFF"/>
        </w:rPr>
        <w:t>龙头企业、大型企业</w:t>
      </w:r>
      <w:r>
        <w:rPr>
          <w:bCs/>
          <w:color w:val="000000"/>
          <w:kern w:val="0"/>
          <w:szCs w:val="32"/>
          <w:shd w:val="clear" w:color="auto" w:fill="FFFFFF"/>
        </w:rPr>
        <w:t>先行试点的基础上逐步扩大范围，由省级及以上人力资源社会保障部门指导用人单位制定实施方案，对评审标准、程序、办法和配套措施等作出具体规定。用人单位按照制定方案、组织评审、公示核准、任职聘用等程序组织实施。</w:t>
      </w:r>
    </w:p>
    <w:p w14:paraId="5E025F41">
      <w:pPr>
        <w:adjustRightInd w:val="0"/>
        <w:snapToGrid w:val="0"/>
        <w:spacing w:line="576" w:lineRule="exact"/>
        <w:ind w:firstLine="640" w:firstLineChars="200"/>
        <w:rPr>
          <w:bCs/>
          <w:color w:val="000000"/>
          <w:szCs w:val="32"/>
        </w:rPr>
      </w:pPr>
      <w:r>
        <w:rPr>
          <w:bCs/>
          <w:color w:val="000000"/>
          <w:kern w:val="0"/>
          <w:szCs w:val="32"/>
          <w:shd w:val="clear" w:color="auto" w:fill="FFFFFF"/>
        </w:rPr>
        <w:t>首席技师原则上从特级技师中产生。首席技师是在技术技能领域作出重大贡献，或本地区、本行业企业公认具有高超技能、精湛技艺的高技能人才。首席技师评聘工作要在特级技师评聘的基础上先行试点、逐步推开，由省级及以上人力资源社会保障部门、国务院有关行业主管部门指导用人单位实施，采取基层推荐、地方或行业评审、公示核准、用人单位聘任等程序进行。</w:t>
      </w:r>
    </w:p>
    <w:p w14:paraId="17E8DFA4">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（十）支持用人单位自主开展职业技能等级认定。</w:t>
      </w:r>
      <w:r>
        <w:rPr>
          <w:color w:val="000000"/>
          <w:kern w:val="0"/>
          <w:szCs w:val="32"/>
          <w:shd w:val="clear" w:color="auto" w:fill="FFFFFF"/>
        </w:rPr>
        <w:t>经人力资源社会保障部门备案的</w:t>
      </w:r>
      <w:r>
        <w:rPr>
          <w:bCs/>
          <w:color w:val="000000"/>
          <w:kern w:val="0"/>
          <w:szCs w:val="32"/>
          <w:shd w:val="clear" w:color="auto" w:fill="FFFFFF"/>
        </w:rPr>
        <w:t>用人单位结合生产经营特点和实际需要，按照有关规定</w:t>
      </w:r>
      <w:r>
        <w:rPr>
          <w:color w:val="000000"/>
          <w:kern w:val="0"/>
          <w:szCs w:val="32"/>
          <w:shd w:val="clear" w:color="auto" w:fill="FFFFFF"/>
        </w:rPr>
        <w:t>，面向本单位职工（含劳务派遣、劳务外包、在单位实习人员、有隶属关系的单位在岗职工等用工人员）</w:t>
      </w:r>
      <w:r>
        <w:rPr>
          <w:bCs/>
          <w:color w:val="000000"/>
          <w:kern w:val="0"/>
          <w:szCs w:val="32"/>
          <w:shd w:val="clear" w:color="auto" w:fill="FFFFFF"/>
        </w:rPr>
        <w:t>自主开展技能人才评价。鼓励用人单位在职业技能等级认定工作初期，广泛开展定级考评，根据岗位条件、职工日常表现、工作业绩等，按照有关规定认定职工相应职业技能等级。用人单位可将职业技能等级认定与岗位练兵、技术比武、技术攻关、揭榜领题等相结合。打破学历、资历、年龄、比例等限制，对技艺高超、业绩突出的一线职工，按照规定直接认定其相应</w:t>
      </w:r>
      <w:r>
        <w:rPr>
          <w:color w:val="000000"/>
          <w:kern w:val="0"/>
          <w:szCs w:val="32"/>
          <w:shd w:val="clear" w:color="auto" w:fill="FFFFFF"/>
        </w:rPr>
        <w:t>职业</w:t>
      </w:r>
      <w:r>
        <w:rPr>
          <w:bCs/>
          <w:color w:val="000000"/>
          <w:kern w:val="0"/>
          <w:szCs w:val="32"/>
          <w:shd w:val="clear" w:color="auto" w:fill="FFFFFF"/>
        </w:rPr>
        <w:t>技能等级。</w:t>
      </w:r>
    </w:p>
    <w:p w14:paraId="682E8777">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（十一）推行社会化职业技能等级认定。</w:t>
      </w:r>
      <w:r>
        <w:rPr>
          <w:rFonts w:ascii="Times New Roman" w:hAnsi="Times New Roman" w:eastAsia="仿宋_GB2312" w:cs="Times New Roman"/>
          <w:bCs/>
          <w:color w:val="000000"/>
          <w:sz w:val="32"/>
          <w:szCs w:val="32"/>
          <w:shd w:val="clear" w:color="auto" w:fill="FFFFFF"/>
        </w:rPr>
        <w:t>按照统筹规划、合理布局、严格条件、择优遴选、动态调整的原则，面向社会公开征集遴选</w:t>
      </w:r>
      <w:r>
        <w:rPr>
          <w:rFonts w:ascii="Times New Roman" w:hAnsi="Times New Roman" w:eastAsia="仿宋_GB2312" w:cs="Times New Roman"/>
          <w:color w:val="000000"/>
          <w:sz w:val="32"/>
          <w:szCs w:val="32"/>
          <w:shd w:val="clear" w:color="auto" w:fill="FFFFFF"/>
        </w:rPr>
        <w:t>具有“产业代表性、评价专业性、行业权威性”的</w:t>
      </w:r>
      <w:r>
        <w:rPr>
          <w:rFonts w:ascii="Times New Roman" w:hAnsi="Times New Roman" w:eastAsia="仿宋_GB2312" w:cs="Times New Roman"/>
          <w:bCs/>
          <w:color w:val="000000"/>
          <w:sz w:val="32"/>
          <w:szCs w:val="32"/>
          <w:shd w:val="clear" w:color="auto" w:fill="FFFFFF"/>
        </w:rPr>
        <w:t>社会评价机构。</w:t>
      </w:r>
      <w:r>
        <w:rPr>
          <w:rFonts w:ascii="Times New Roman" w:hAnsi="Times New Roman" w:eastAsia="仿宋_GB2312" w:cs="Times New Roman"/>
          <w:color w:val="000000"/>
          <w:sz w:val="32"/>
          <w:szCs w:val="32"/>
          <w:shd w:val="clear" w:color="auto" w:fill="FFFFFF"/>
        </w:rPr>
        <w:t>经备案的</w:t>
      </w:r>
      <w:r>
        <w:rPr>
          <w:rFonts w:ascii="Times New Roman" w:hAnsi="Times New Roman" w:eastAsia="仿宋_GB2312" w:cs="Times New Roman"/>
          <w:bCs/>
          <w:color w:val="000000"/>
          <w:sz w:val="32"/>
          <w:szCs w:val="32"/>
          <w:shd w:val="clear" w:color="auto" w:fill="FFFFFF"/>
        </w:rPr>
        <w:t>社会评价机构根据市场需求和劳动者就业创业需要，依据有关规定，按照客观、公正、科学、规范的原则，面向劳动者开展职业技能等级认定。</w:t>
      </w:r>
    </w:p>
    <w:p w14:paraId="7B09A3A3">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（十二）指导</w:t>
      </w:r>
      <w:r>
        <w:rPr>
          <w:rFonts w:ascii="Times New Roman" w:hAnsi="Times New Roman" w:eastAsia="楷体_GB2312" w:cs="Times New Roman"/>
          <w:color w:val="000000"/>
          <w:sz w:val="32"/>
          <w:szCs w:val="32"/>
          <w:shd w:val="clear" w:color="auto" w:fill="FFFFFF"/>
        </w:rPr>
        <w:t>职业</w:t>
      </w:r>
      <w:r>
        <w:rPr>
          <w:rFonts w:ascii="Times New Roman" w:hAnsi="Times New Roman" w:eastAsia="楷体_GB2312" w:cs="Times New Roman"/>
          <w:bCs/>
          <w:color w:val="000000"/>
          <w:sz w:val="32"/>
          <w:szCs w:val="32"/>
          <w:shd w:val="clear" w:color="auto" w:fill="FFFFFF"/>
        </w:rPr>
        <w:t>院校全面开展职业技能等级认定。</w:t>
      </w:r>
      <w:r>
        <w:rPr>
          <w:rFonts w:ascii="Times New Roman" w:hAnsi="Times New Roman" w:eastAsia="仿宋_GB2312" w:cs="Times New Roman"/>
          <w:bCs/>
          <w:color w:val="000000"/>
          <w:sz w:val="32"/>
          <w:szCs w:val="32"/>
          <w:shd w:val="clear" w:color="auto" w:fill="FFFFFF"/>
        </w:rPr>
        <w:t>促进</w:t>
      </w:r>
      <w:r>
        <w:rPr>
          <w:rFonts w:ascii="Times New Roman" w:hAnsi="Times New Roman" w:eastAsia="仿宋_GB2312" w:cs="Times New Roman"/>
          <w:color w:val="000000"/>
          <w:sz w:val="32"/>
          <w:szCs w:val="32"/>
          <w:shd w:val="clear" w:color="auto" w:fill="FFFFFF"/>
        </w:rPr>
        <w:t>职业</w:t>
      </w:r>
      <w:r>
        <w:rPr>
          <w:rFonts w:ascii="Times New Roman" w:hAnsi="Times New Roman" w:eastAsia="仿宋_GB2312" w:cs="Times New Roman"/>
          <w:bCs/>
          <w:color w:val="000000"/>
          <w:sz w:val="32"/>
          <w:szCs w:val="32"/>
          <w:shd w:val="clear" w:color="auto" w:fill="FFFFFF"/>
        </w:rPr>
        <w:t>院校教学与企业用人需求紧密结合，推行工学一体化技能人才培养模式，加强专业设置与产业需求对接、课程内容与职业标准对接、教学过程与工作过程对接，积极为学生提供职业技能等级认定服务。同时，支持</w:t>
      </w:r>
      <w:r>
        <w:rPr>
          <w:rFonts w:ascii="Times New Roman" w:hAnsi="Times New Roman" w:eastAsia="仿宋_GB2312" w:cs="Times New Roman"/>
          <w:color w:val="000000"/>
          <w:sz w:val="32"/>
          <w:szCs w:val="32"/>
          <w:shd w:val="clear" w:color="auto" w:fill="FFFFFF"/>
        </w:rPr>
        <w:t>职业</w:t>
      </w:r>
      <w:r>
        <w:rPr>
          <w:rFonts w:ascii="Times New Roman" w:hAnsi="Times New Roman" w:eastAsia="仿宋_GB2312" w:cs="Times New Roman"/>
          <w:bCs/>
          <w:color w:val="000000"/>
          <w:sz w:val="32"/>
          <w:szCs w:val="32"/>
          <w:shd w:val="clear" w:color="auto" w:fill="FFFFFF"/>
        </w:rPr>
        <w:t>院校依托合作企业为学生提供职业技能等级认定服务。加大将</w:t>
      </w:r>
      <w:r>
        <w:rPr>
          <w:rFonts w:ascii="Times New Roman" w:hAnsi="Times New Roman" w:eastAsia="仿宋_GB2312" w:cs="Times New Roman"/>
          <w:color w:val="000000"/>
          <w:sz w:val="32"/>
          <w:szCs w:val="32"/>
          <w:shd w:val="clear" w:color="auto" w:fill="FFFFFF"/>
        </w:rPr>
        <w:t>符合条件的职业</w:t>
      </w:r>
      <w:r>
        <w:rPr>
          <w:rFonts w:ascii="Times New Roman" w:hAnsi="Times New Roman" w:eastAsia="仿宋_GB2312" w:cs="Times New Roman"/>
          <w:bCs/>
          <w:color w:val="000000"/>
          <w:sz w:val="32"/>
          <w:szCs w:val="32"/>
          <w:shd w:val="clear" w:color="auto" w:fill="FFFFFF"/>
        </w:rPr>
        <w:t>院校培育为社会评价机构力度，面向各类就业群体提供职业技能等级认定服务。</w:t>
      </w:r>
    </w:p>
    <w:p w14:paraId="5F7EF754">
      <w:pPr>
        <w:adjustRightInd w:val="0"/>
        <w:snapToGrid w:val="0"/>
        <w:spacing w:line="576" w:lineRule="exact"/>
        <w:ind w:firstLine="640" w:firstLineChars="200"/>
        <w:rPr>
          <w:rFonts w:eastAsia="黑体"/>
          <w:bCs/>
          <w:color w:val="000000"/>
          <w:kern w:val="0"/>
          <w:szCs w:val="32"/>
          <w:shd w:val="clear" w:color="auto" w:fill="FFFFFF"/>
        </w:rPr>
      </w:pPr>
      <w:r>
        <w:rPr>
          <w:rFonts w:eastAsia="黑体"/>
          <w:bCs/>
          <w:color w:val="000000"/>
          <w:kern w:val="0"/>
          <w:szCs w:val="32"/>
          <w:shd w:val="clear" w:color="auto" w:fill="FFFFFF"/>
        </w:rPr>
        <w:t>四、促进职业技能等级认定结果与培养使用待遇相结合</w:t>
      </w:r>
    </w:p>
    <w:p w14:paraId="28F369EB">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（十三）充分发挥技能评价对提高培养培训质量的导向作用。</w:t>
      </w:r>
      <w:r>
        <w:rPr>
          <w:rFonts w:ascii="Times New Roman" w:hAnsi="Times New Roman" w:eastAsia="仿宋_GB2312" w:cs="Times New Roman"/>
          <w:bCs/>
          <w:color w:val="000000"/>
          <w:sz w:val="32"/>
          <w:szCs w:val="32"/>
          <w:shd w:val="clear" w:color="auto" w:fill="FFFFFF"/>
        </w:rPr>
        <w:t>要将职业技能等级认定作为引导职业技能培训方向、检验培训质量的重要手段</w:t>
      </w:r>
      <w:r>
        <w:rPr>
          <w:rFonts w:ascii="Times New Roman" w:hAnsi="Times New Roman" w:eastAsia="仿宋_GB2312" w:cs="Times New Roman"/>
          <w:color w:val="000000"/>
          <w:sz w:val="32"/>
          <w:szCs w:val="32"/>
          <w:shd w:val="clear" w:color="auto" w:fill="FFFFFF"/>
        </w:rPr>
        <w:t>，以评促训、以评促用、以评提能</w:t>
      </w:r>
      <w:r>
        <w:rPr>
          <w:rFonts w:ascii="Times New Roman" w:hAnsi="Times New Roman" w:eastAsia="仿宋_GB2312" w:cs="Times New Roman"/>
          <w:bCs/>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支持用人单位、职业院校、社会培训机构等</w:t>
      </w:r>
      <w:r>
        <w:rPr>
          <w:rFonts w:ascii="Times New Roman" w:hAnsi="Times New Roman" w:eastAsia="仿宋_GB2312" w:cs="Times New Roman"/>
          <w:bCs/>
          <w:color w:val="000000"/>
          <w:sz w:val="32"/>
          <w:szCs w:val="32"/>
          <w:shd w:val="clear" w:color="auto" w:fill="FFFFFF"/>
        </w:rPr>
        <w:t>依据</w:t>
      </w:r>
      <w:r>
        <w:rPr>
          <w:rFonts w:ascii="Times New Roman" w:hAnsi="Times New Roman" w:eastAsia="仿宋_GB2312" w:cs="Times New Roman"/>
          <w:color w:val="000000"/>
          <w:sz w:val="32"/>
          <w:szCs w:val="32"/>
          <w:shd w:val="clear" w:color="auto" w:fill="FFFFFF"/>
        </w:rPr>
        <w:t>《国家职业技能标准》</w:t>
      </w:r>
      <w:r>
        <w:rPr>
          <w:rFonts w:ascii="Times New Roman" w:hAnsi="Times New Roman" w:eastAsia="仿宋_GB2312" w:cs="Times New Roman"/>
          <w:bCs/>
          <w:color w:val="000000"/>
          <w:sz w:val="32"/>
          <w:szCs w:val="32"/>
          <w:shd w:val="clear" w:color="auto" w:fill="FFFFFF"/>
        </w:rPr>
        <w:t>组织开展各等级职业技能培训，突出能力导向，强化高技能人才培训，促进职业技能培训与职业技能等级认定有机衔接</w:t>
      </w:r>
      <w:r>
        <w:rPr>
          <w:rFonts w:ascii="Times New Roman" w:hAnsi="Times New Roman" w:eastAsia="仿宋_GB2312" w:cs="Times New Roman"/>
          <w:color w:val="000000"/>
          <w:sz w:val="32"/>
          <w:szCs w:val="32"/>
          <w:shd w:val="clear" w:color="auto" w:fill="FFFFFF"/>
        </w:rPr>
        <w:t>，与企业用人需求紧密结合。引导用人单位制定技能人才培养规划和培训制度，落实职工技能培训经费，将企业使用职工教育经费开展技能培训情况纳入政府补贴性培训项目备案条件，</w:t>
      </w:r>
      <w:r>
        <w:rPr>
          <w:rFonts w:ascii="Times New Roman" w:hAnsi="Times New Roman" w:eastAsia="仿宋_GB2312" w:cs="Times New Roman"/>
          <w:bCs/>
          <w:color w:val="000000"/>
          <w:sz w:val="32"/>
          <w:szCs w:val="32"/>
          <w:shd w:val="clear" w:color="auto" w:fill="FFFFFF"/>
        </w:rPr>
        <w:t>推动建立并形成贯穿劳动者学习工作终身、覆盖劳动者职业生涯全程的职业技能培训制度。</w:t>
      </w:r>
    </w:p>
    <w:p w14:paraId="0B413402">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（十四）促进职业技能等级认定结果与岗位使用有效衔接。</w:t>
      </w:r>
      <w:r>
        <w:rPr>
          <w:rFonts w:ascii="Times New Roman" w:hAnsi="Times New Roman" w:eastAsia="仿宋_GB2312" w:cs="Times New Roman"/>
          <w:bCs/>
          <w:color w:val="000000"/>
          <w:sz w:val="32"/>
          <w:szCs w:val="32"/>
          <w:shd w:val="clear" w:color="auto" w:fill="FFFFFF"/>
        </w:rPr>
        <w:t>建立评价与使用相结合的机制，评以适用、以用促评。用人单位结合用人需求，根据职业技能等级认定等技能评价结果合理安排技能人才</w:t>
      </w:r>
      <w:r>
        <w:rPr>
          <w:rFonts w:ascii="Times New Roman" w:hAnsi="Times New Roman" w:eastAsia="仿宋_GB2312" w:cs="Times New Roman"/>
          <w:color w:val="000000"/>
          <w:sz w:val="32"/>
          <w:szCs w:val="32"/>
          <w:shd w:val="clear" w:color="auto" w:fill="FFFFFF"/>
        </w:rPr>
        <w:t>岗位聘用和晋升</w:t>
      </w:r>
      <w:r>
        <w:rPr>
          <w:rFonts w:ascii="Times New Roman" w:hAnsi="Times New Roman" w:eastAsia="仿宋_GB2312" w:cs="Times New Roman"/>
          <w:bCs/>
          <w:color w:val="000000"/>
          <w:sz w:val="32"/>
          <w:szCs w:val="32"/>
          <w:shd w:val="clear" w:color="auto" w:fill="FFFFFF"/>
        </w:rPr>
        <w:t>，实现职业技能等级认定等技能评价结果与技能人才使用相衔接。实行聘期管理制度，健全日常和动态考核制度，</w:t>
      </w:r>
      <w:r>
        <w:rPr>
          <w:rFonts w:ascii="Times New Roman" w:hAnsi="Times New Roman" w:eastAsia="仿宋_GB2312" w:cs="Times New Roman"/>
          <w:color w:val="000000"/>
          <w:sz w:val="32"/>
          <w:szCs w:val="32"/>
          <w:shd w:val="clear" w:color="auto" w:fill="FFFFFF"/>
        </w:rPr>
        <w:t>引入退出机制，</w:t>
      </w:r>
      <w:r>
        <w:rPr>
          <w:rFonts w:ascii="Times New Roman" w:hAnsi="Times New Roman" w:eastAsia="仿宋_GB2312" w:cs="Times New Roman"/>
          <w:bCs/>
          <w:color w:val="000000"/>
          <w:sz w:val="32"/>
          <w:szCs w:val="32"/>
          <w:shd w:val="clear" w:color="auto" w:fill="FFFFFF"/>
        </w:rPr>
        <w:t>在岗位聘用中实现人员能上能下</w:t>
      </w:r>
      <w:r>
        <w:rPr>
          <w:rFonts w:ascii="Times New Roman" w:hAnsi="Times New Roman" w:eastAsia="仿宋_GB2312" w:cs="Times New Roman"/>
          <w:color w:val="000000"/>
          <w:sz w:val="32"/>
          <w:szCs w:val="32"/>
          <w:shd w:val="clear" w:color="auto" w:fill="FFFFFF"/>
        </w:rPr>
        <w:t>、能进能出</w:t>
      </w:r>
      <w:r>
        <w:rPr>
          <w:rFonts w:ascii="Times New Roman" w:hAnsi="Times New Roman" w:eastAsia="仿宋_GB2312" w:cs="Times New Roman"/>
          <w:bCs/>
          <w:color w:val="000000"/>
          <w:sz w:val="32"/>
          <w:szCs w:val="32"/>
          <w:shd w:val="clear" w:color="auto" w:fill="FFFFFF"/>
        </w:rPr>
        <w:t>。</w:t>
      </w:r>
    </w:p>
    <w:p w14:paraId="38886609">
      <w:pPr>
        <w:adjustRightInd w:val="0"/>
        <w:snapToGrid w:val="0"/>
        <w:spacing w:line="576" w:lineRule="exact"/>
        <w:ind w:firstLine="640" w:firstLineChars="200"/>
        <w:rPr>
          <w:bCs/>
          <w:color w:val="000000"/>
          <w:szCs w:val="32"/>
          <w:highlight w:val="yellow"/>
        </w:rPr>
      </w:pPr>
      <w:r>
        <w:rPr>
          <w:rFonts w:eastAsia="楷体_GB2312"/>
          <w:bCs/>
          <w:color w:val="000000"/>
          <w:kern w:val="0"/>
          <w:szCs w:val="32"/>
          <w:shd w:val="clear" w:color="auto" w:fill="FFFFFF"/>
        </w:rPr>
        <w:t>（十五）建立与职业技能等级（岗位）序列相匹配的岗位绩效工资制。</w:t>
      </w:r>
      <w:r>
        <w:rPr>
          <w:bCs/>
          <w:color w:val="000000"/>
          <w:kern w:val="0"/>
          <w:szCs w:val="32"/>
          <w:shd w:val="clear" w:color="auto" w:fill="FFFFFF"/>
        </w:rPr>
        <w:t>推动《技能人才薪酬分配指引》落实落地，强化工资收入分配的技能价值激励导向。引导用人单位建立基于岗位价值、能力素质、业绩贡献的工资分配制度，将职业技能等级作为技能人才工资分配的重要参考，突出技能人才实际贡献，通过在工资结构中设置体现技术技能价值的工资单元，或根据职业技能等级设置单独的</w:t>
      </w:r>
      <w:r>
        <w:rPr>
          <w:color w:val="000000"/>
          <w:kern w:val="0"/>
          <w:szCs w:val="32"/>
          <w:shd w:val="clear" w:color="auto" w:fill="FFFFFF"/>
        </w:rPr>
        <w:t>体现技能人才技能水平的</w:t>
      </w:r>
      <w:r>
        <w:rPr>
          <w:bCs/>
          <w:color w:val="000000"/>
          <w:kern w:val="0"/>
          <w:szCs w:val="32"/>
          <w:shd w:val="clear" w:color="auto" w:fill="FFFFFF"/>
        </w:rPr>
        <w:t>技能津贴</w:t>
      </w:r>
      <w:r>
        <w:rPr>
          <w:color w:val="000000"/>
          <w:kern w:val="0"/>
          <w:szCs w:val="32"/>
          <w:shd w:val="clear" w:color="auto" w:fill="FFFFFF"/>
        </w:rPr>
        <w:t>，体现技能人才班组长额外劳动付出的班组长津贴，体现技能人才积极参与重大生产决策、重大技术革新和技术攻关项目的研发津贴，体现技能人才兼任职业院校实习实训指导教师、积极参与竞赛选手培养、课程研发和竞赛队伍建设的赛学津贴，体现技能人才师傅带徒弟额外劳动付出的带徒津贴，鼓励多学技能、向复合型人才发展的多能津贴或通岗津贴</w:t>
      </w:r>
      <w:r>
        <w:rPr>
          <w:bCs/>
          <w:color w:val="000000"/>
          <w:kern w:val="0"/>
          <w:szCs w:val="32"/>
          <w:shd w:val="clear" w:color="auto" w:fill="FFFFFF"/>
        </w:rPr>
        <w:t>等方式，合理确定技能人才工资水平，实现多劳者多得、技高者多得。</w:t>
      </w:r>
    </w:p>
    <w:p w14:paraId="786A6C5C">
      <w:pPr>
        <w:adjustRightInd w:val="0"/>
        <w:snapToGrid w:val="0"/>
        <w:spacing w:line="576" w:lineRule="exact"/>
        <w:ind w:firstLine="640" w:firstLineChars="200"/>
        <w:rPr>
          <w:bCs/>
          <w:color w:val="000000"/>
          <w:kern w:val="0"/>
          <w:szCs w:val="32"/>
          <w:shd w:val="clear" w:color="auto" w:fill="FFFFFF"/>
        </w:rPr>
      </w:pPr>
      <w:r>
        <w:rPr>
          <w:rFonts w:eastAsia="楷体_GB2312"/>
          <w:bCs/>
          <w:color w:val="000000"/>
          <w:kern w:val="0"/>
          <w:szCs w:val="32"/>
          <w:shd w:val="clear" w:color="auto" w:fill="FFFFFF"/>
        </w:rPr>
        <w:t>（十六）健全高技能人才</w:t>
      </w:r>
      <w:r>
        <w:rPr>
          <w:rFonts w:eastAsia="楷体_GB2312"/>
          <w:color w:val="000000"/>
          <w:kern w:val="0"/>
          <w:szCs w:val="32"/>
          <w:shd w:val="clear" w:color="auto" w:fill="FFFFFF"/>
        </w:rPr>
        <w:t>长效</w:t>
      </w:r>
      <w:r>
        <w:rPr>
          <w:rFonts w:eastAsia="楷体_GB2312"/>
          <w:bCs/>
          <w:color w:val="000000"/>
          <w:kern w:val="0"/>
          <w:szCs w:val="32"/>
          <w:shd w:val="clear" w:color="auto" w:fill="FFFFFF"/>
        </w:rPr>
        <w:t>激励机制。</w:t>
      </w:r>
      <w:r>
        <w:rPr>
          <w:bCs/>
          <w:color w:val="000000"/>
          <w:kern w:val="0"/>
          <w:szCs w:val="32"/>
          <w:shd w:val="clear" w:color="auto" w:fill="FFFFFF"/>
        </w:rPr>
        <w:t>引导用人单位工资分配向高技能人才倾斜，高技能人才人均工资增幅不低于本单位相应层级专业技术人员和管理人员人均工资增幅。对优秀的高技能人才，可探索实行协议工资、项目工资、年薪制、专项特殊奖励、股权期权激励、技术创新成果入股、岗位分红等激励办法</w:t>
      </w:r>
      <w:r>
        <w:rPr>
          <w:color w:val="000000"/>
          <w:kern w:val="0"/>
          <w:szCs w:val="32"/>
          <w:shd w:val="clear" w:color="auto" w:fill="FFFFFF"/>
        </w:rPr>
        <w:t>，并通过设立技能大师工作室等充分发挥其技术攻关、技术交流、带徒传技和示范引领作用。</w:t>
      </w:r>
      <w:r>
        <w:rPr>
          <w:bCs/>
          <w:color w:val="000000"/>
          <w:kern w:val="0"/>
          <w:szCs w:val="32"/>
          <w:shd w:val="clear" w:color="auto" w:fill="FFFFFF"/>
        </w:rPr>
        <w:t>对在聘的高级工、技师、高级技师在学习进修、</w:t>
      </w:r>
      <w:r>
        <w:rPr>
          <w:color w:val="000000"/>
          <w:kern w:val="0"/>
          <w:szCs w:val="32"/>
          <w:shd w:val="clear" w:color="auto" w:fill="FFFFFF"/>
        </w:rPr>
        <w:t>轮岗锻炼、</w:t>
      </w:r>
      <w:r>
        <w:rPr>
          <w:bCs/>
          <w:color w:val="000000"/>
          <w:kern w:val="0"/>
          <w:szCs w:val="32"/>
          <w:shd w:val="clear" w:color="auto" w:fill="FFFFFF"/>
        </w:rPr>
        <w:t>岗位聘任、职务职级晋升、评优评奖、科研项目申报等方面，</w:t>
      </w:r>
      <w:r>
        <w:rPr>
          <w:color w:val="000000"/>
          <w:kern w:val="0"/>
          <w:szCs w:val="32"/>
          <w:shd w:val="clear" w:color="auto" w:fill="FFFFFF"/>
        </w:rPr>
        <w:t>分别</w:t>
      </w:r>
      <w:r>
        <w:rPr>
          <w:bCs/>
          <w:color w:val="000000"/>
          <w:kern w:val="0"/>
          <w:szCs w:val="32"/>
          <w:shd w:val="clear" w:color="auto" w:fill="FFFFFF"/>
        </w:rPr>
        <w:t>比照</w:t>
      </w:r>
      <w:r>
        <w:rPr>
          <w:color w:val="000000"/>
          <w:kern w:val="0"/>
          <w:szCs w:val="32"/>
          <w:shd w:val="clear" w:color="auto" w:fill="FFFFFF"/>
        </w:rPr>
        <w:t>本单位初级、中级、高级职称人员</w:t>
      </w:r>
      <w:r>
        <w:rPr>
          <w:bCs/>
          <w:color w:val="000000"/>
          <w:kern w:val="0"/>
          <w:szCs w:val="32"/>
          <w:shd w:val="clear" w:color="auto" w:fill="FFFFFF"/>
        </w:rPr>
        <w:t>享受同等待遇。聘用到特级技师岗位的人员，比照</w:t>
      </w:r>
      <w:r>
        <w:rPr>
          <w:color w:val="000000"/>
          <w:kern w:val="0"/>
          <w:szCs w:val="32"/>
          <w:shd w:val="clear" w:color="auto" w:fill="FFFFFF"/>
        </w:rPr>
        <w:t>本单位</w:t>
      </w:r>
      <w:r>
        <w:rPr>
          <w:bCs/>
          <w:color w:val="000000"/>
          <w:kern w:val="0"/>
          <w:szCs w:val="32"/>
          <w:shd w:val="clear" w:color="auto" w:fill="FFFFFF"/>
        </w:rPr>
        <w:t>正高级职称人员享受同等待遇。首席技师薪酬待遇可参照本单位高级管理人员标准确定或根据实际确定，不低于特级技师薪酬待遇。机关事业单位工勤（工勤技能）人员的职业技能等级（岗位）设置和薪酬待遇按照有关规定执行。</w:t>
      </w:r>
    </w:p>
    <w:p w14:paraId="4E10C2DB">
      <w:pPr>
        <w:adjustRightInd w:val="0"/>
        <w:snapToGrid w:val="0"/>
        <w:spacing w:line="576" w:lineRule="exact"/>
        <w:ind w:firstLine="640" w:firstLineChars="200"/>
        <w:rPr>
          <w:bCs/>
          <w:color w:val="000000"/>
          <w:kern w:val="0"/>
          <w:szCs w:val="32"/>
          <w:shd w:val="clear" w:color="auto" w:fill="FFFFFF"/>
        </w:rPr>
      </w:pPr>
      <w:r>
        <w:rPr>
          <w:color w:val="000000"/>
          <w:kern w:val="0"/>
          <w:szCs w:val="32"/>
          <w:shd w:val="clear" w:color="auto" w:fill="FFFFFF"/>
        </w:rPr>
        <w:t>鼓励各地在制定和完善人才政策时，优先将首席技师、特级技师等高技能领军人才纳入党委（党组）联系服务专家范围和高层次人才库等，并结合实际给予人才疗休养（休假）以及落户、购（租）住房、医疗保障、子女教育等方面的配套政策支持。在高技能人才项目建设和高技能人才评选表彰中对首席技师、特级技师等给予优先考虑。</w:t>
      </w:r>
    </w:p>
    <w:p w14:paraId="0F0FF8C2">
      <w:pPr>
        <w:adjustRightInd w:val="0"/>
        <w:snapToGrid w:val="0"/>
        <w:spacing w:line="576" w:lineRule="exact"/>
        <w:ind w:firstLine="640" w:firstLineChars="200"/>
        <w:rPr>
          <w:rFonts w:eastAsia="黑体"/>
          <w:bCs/>
          <w:color w:val="000000"/>
          <w:kern w:val="0"/>
          <w:szCs w:val="32"/>
          <w:shd w:val="clear" w:color="auto" w:fill="FFFFFF"/>
        </w:rPr>
      </w:pPr>
      <w:r>
        <w:rPr>
          <w:rFonts w:eastAsia="黑体"/>
          <w:bCs/>
          <w:color w:val="000000"/>
          <w:kern w:val="0"/>
          <w:szCs w:val="32"/>
          <w:shd w:val="clear" w:color="auto" w:fill="FFFFFF"/>
        </w:rPr>
        <w:t>五、加强服务监管</w:t>
      </w:r>
    </w:p>
    <w:p w14:paraId="1B72209F">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（十七）加强组织领导。</w:t>
      </w:r>
      <w:r>
        <w:rPr>
          <w:rFonts w:ascii="Times New Roman" w:hAnsi="Times New Roman" w:eastAsia="仿宋_GB2312" w:cs="Times New Roman"/>
          <w:bCs/>
          <w:color w:val="000000"/>
          <w:sz w:val="32"/>
          <w:szCs w:val="32"/>
          <w:shd w:val="clear" w:color="auto" w:fill="FFFFFF"/>
        </w:rPr>
        <w:t>健全完善职业技能等级制度关系广大技能人才的切身利益，涉及面广，政治性、政策性和技术性都非常强。各级人力资源社会保障部门要充分认识实施职业技能等级制度的重要意义。要从提升技能人才社会地位、巩固党的执政基础、实现人民共同富裕的高度，切实加强组织领导，统筹规划，周密部署，精心组织。要做好推动落实、服务保障、监督检查以及宣传引导等工作。</w:t>
      </w:r>
    </w:p>
    <w:p w14:paraId="02D02772">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（十八）健全公共服务体系。</w:t>
      </w:r>
      <w:r>
        <w:rPr>
          <w:rFonts w:ascii="Times New Roman" w:hAnsi="Times New Roman" w:eastAsia="仿宋_GB2312" w:cs="Times New Roman"/>
          <w:bCs/>
          <w:color w:val="000000"/>
          <w:sz w:val="32"/>
          <w:szCs w:val="32"/>
          <w:shd w:val="clear" w:color="auto" w:fill="FFFFFF"/>
        </w:rPr>
        <w:t>按照全覆盖、可及性、便利性的要求，建立健全技能人才评价服务体系。做好评价机构备案服务，公布机构目录并实行动态调整。严格规范证书（或电子证书）管理。建立完善信息化服务管理系统，面向社会提供技能人才评价机构和证书查询验证服务。加强跨区域职业技能等级认定结果互认，探索职业技能等级认定结果国际互认</w:t>
      </w:r>
      <w:r>
        <w:rPr>
          <w:rFonts w:ascii="Times New Roman" w:hAnsi="Times New Roman" w:eastAsia="仿宋_GB2312" w:cs="Times New Roman"/>
          <w:color w:val="000000"/>
          <w:sz w:val="32"/>
          <w:szCs w:val="32"/>
          <w:shd w:val="clear" w:color="auto" w:fill="FFFFFF"/>
        </w:rPr>
        <w:t>。设立高技能领军人才服务窗口，为高技能领军人才提供政策咨询、业务代办等个性化精准化服务，协调落实相关待遇政策。</w:t>
      </w:r>
    </w:p>
    <w:p w14:paraId="6B5E055D">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shd w:val="clear" w:color="auto" w:fill="FFFFFF"/>
        </w:rPr>
      </w:pPr>
      <w:r>
        <w:rPr>
          <w:rFonts w:ascii="Times New Roman" w:hAnsi="Times New Roman" w:eastAsia="楷体_GB2312" w:cs="Times New Roman"/>
          <w:bCs/>
          <w:color w:val="000000"/>
          <w:sz w:val="32"/>
          <w:szCs w:val="32"/>
          <w:shd w:val="clear" w:color="auto" w:fill="FFFFFF"/>
        </w:rPr>
        <w:t>（十九）加强质量督导和监管。</w:t>
      </w:r>
      <w:r>
        <w:rPr>
          <w:rFonts w:ascii="Times New Roman" w:hAnsi="Times New Roman" w:eastAsia="仿宋_GB2312" w:cs="Times New Roman"/>
          <w:bCs/>
          <w:color w:val="000000"/>
          <w:sz w:val="32"/>
          <w:szCs w:val="32"/>
          <w:shd w:val="clear" w:color="auto" w:fill="FFFFFF"/>
        </w:rPr>
        <w:t>建立健全质量监管体系，</w:t>
      </w:r>
      <w:r>
        <w:rPr>
          <w:rFonts w:ascii="Times New Roman" w:hAnsi="Times New Roman" w:eastAsia="仿宋_GB2312" w:cs="Times New Roman"/>
          <w:color w:val="000000"/>
          <w:sz w:val="32"/>
          <w:szCs w:val="32"/>
          <w:shd w:val="clear" w:color="auto" w:fill="FFFFFF"/>
        </w:rPr>
        <w:t>积极探索建立职业技能等级认定评价机构信用评价管理体系。</w:t>
      </w:r>
      <w:r>
        <w:rPr>
          <w:rFonts w:ascii="Times New Roman" w:hAnsi="Times New Roman" w:eastAsia="仿宋_GB2312" w:cs="Times New Roman"/>
          <w:bCs/>
          <w:color w:val="000000"/>
          <w:sz w:val="32"/>
          <w:szCs w:val="32"/>
          <w:shd w:val="clear" w:color="auto" w:fill="FFFFFF"/>
        </w:rPr>
        <w:t>实现事前事中事后全链条全领域监管。各地要按照属地管理原则，做好技能人才评价工作的综合管理。加强质量督导，采取“双随机、一公开”和“互联网+监管”等方式，加强对用人单位</w:t>
      </w:r>
      <w:r>
        <w:rPr>
          <w:rFonts w:ascii="Times New Roman" w:hAnsi="Times New Roman" w:eastAsia="仿宋_GB2312" w:cs="Times New Roman"/>
          <w:color w:val="000000"/>
          <w:sz w:val="32"/>
          <w:szCs w:val="32"/>
          <w:shd w:val="clear" w:color="auto" w:fill="FFFFFF"/>
        </w:rPr>
        <w:t>、院校</w:t>
      </w:r>
      <w:r>
        <w:rPr>
          <w:rFonts w:ascii="Times New Roman" w:hAnsi="Times New Roman" w:eastAsia="仿宋_GB2312" w:cs="Times New Roman"/>
          <w:bCs/>
          <w:color w:val="000000"/>
          <w:sz w:val="32"/>
          <w:szCs w:val="32"/>
          <w:shd w:val="clear" w:color="auto" w:fill="FFFFFF"/>
        </w:rPr>
        <w:t>和社会评价机构及其评价活动的</w:t>
      </w:r>
      <w:r>
        <w:rPr>
          <w:rFonts w:ascii="Times New Roman" w:hAnsi="Times New Roman" w:eastAsia="仿宋_GB2312" w:cs="Times New Roman"/>
          <w:color w:val="000000"/>
          <w:sz w:val="32"/>
          <w:szCs w:val="32"/>
          <w:shd w:val="clear" w:color="auto" w:fill="FFFFFF"/>
        </w:rPr>
        <w:t>业务指导和</w:t>
      </w:r>
      <w:r>
        <w:rPr>
          <w:rFonts w:ascii="Times New Roman" w:hAnsi="Times New Roman" w:eastAsia="仿宋_GB2312" w:cs="Times New Roman"/>
          <w:bCs/>
          <w:color w:val="000000"/>
          <w:sz w:val="32"/>
          <w:szCs w:val="32"/>
          <w:shd w:val="clear" w:color="auto" w:fill="FFFFFF"/>
        </w:rPr>
        <w:t>监督管理</w:t>
      </w:r>
      <w:r>
        <w:rPr>
          <w:rFonts w:ascii="Times New Roman" w:hAnsi="Times New Roman" w:eastAsia="仿宋_GB2312" w:cs="Times New Roman"/>
          <w:color w:val="000000"/>
          <w:sz w:val="32"/>
          <w:szCs w:val="32"/>
          <w:shd w:val="clear" w:color="auto" w:fill="FFFFFF"/>
        </w:rPr>
        <w:t>，人力资源社会保障部门要</w:t>
      </w:r>
      <w:r>
        <w:rPr>
          <w:rFonts w:ascii="Times New Roman" w:hAnsi="Times New Roman" w:eastAsia="仿宋_GB2312" w:cs="Times New Roman"/>
          <w:color w:val="000000"/>
          <w:sz w:val="32"/>
          <w:szCs w:val="32"/>
        </w:rPr>
        <w:t>与公安、市场监管、民政、网信等有关部门密切沟通协作，提升监管质效</w:t>
      </w:r>
      <w:r>
        <w:rPr>
          <w:rFonts w:ascii="Times New Roman" w:hAnsi="Times New Roman" w:eastAsia="仿宋_GB2312" w:cs="Times New Roman"/>
          <w:bCs/>
          <w:color w:val="000000"/>
          <w:sz w:val="32"/>
          <w:szCs w:val="32"/>
          <w:shd w:val="clear" w:color="auto" w:fill="FFFFFF"/>
        </w:rPr>
        <w:t>。健全评价质量评估机制，及时向社会公开评估结果。用人单位</w:t>
      </w:r>
      <w:r>
        <w:rPr>
          <w:rFonts w:ascii="Times New Roman" w:hAnsi="Times New Roman" w:eastAsia="仿宋_GB2312" w:cs="Times New Roman"/>
          <w:color w:val="000000"/>
          <w:sz w:val="32"/>
          <w:szCs w:val="32"/>
          <w:shd w:val="clear" w:color="auto" w:fill="FFFFFF"/>
        </w:rPr>
        <w:t>、院校</w:t>
      </w:r>
      <w:r>
        <w:rPr>
          <w:rFonts w:ascii="Times New Roman" w:hAnsi="Times New Roman" w:eastAsia="仿宋_GB2312" w:cs="Times New Roman"/>
          <w:bCs/>
          <w:color w:val="000000"/>
          <w:sz w:val="32"/>
          <w:szCs w:val="32"/>
          <w:shd w:val="clear" w:color="auto" w:fill="FFFFFF"/>
        </w:rPr>
        <w:t>和社会评价机构要落实评价质量管理主体责任，接受同行监督和社会监督。</w:t>
      </w:r>
      <w:bookmarkEnd w:id="0"/>
    </w:p>
    <w:p w14:paraId="0DE06842">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shd w:val="clear" w:color="auto" w:fill="FFFFFF"/>
        </w:rPr>
      </w:pPr>
      <w:r>
        <w:rPr>
          <w:rFonts w:ascii="Times New Roman" w:hAnsi="Times New Roman" w:eastAsia="仿宋_GB2312" w:cs="Times New Roman"/>
          <w:bCs/>
          <w:color w:val="000000"/>
          <w:sz w:val="32"/>
          <w:szCs w:val="32"/>
          <w:shd w:val="clear" w:color="auto" w:fill="FFFFFF"/>
        </w:rPr>
        <w:t>本《意见》自2024年2月1日起施行，有效期2年。</w:t>
      </w:r>
    </w:p>
    <w:p w14:paraId="7137DDFC">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shd w:val="clear" w:color="auto" w:fill="FFFFFF"/>
        </w:rPr>
      </w:pPr>
    </w:p>
    <w:p w14:paraId="67A6F53D">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shd w:val="clear" w:color="auto" w:fill="FFFFFF"/>
        </w:rPr>
        <w:t>附件：</w:t>
      </w:r>
      <w:r>
        <w:fldChar w:fldCharType="begin"/>
      </w:r>
      <w:r>
        <w:instrText xml:space="preserve"> HYPERLINK "http://www.mohrss.gov.cn/xxgk2020/fdzdgknr/rcrs_4225/jnrc/zyyjnpj/202204/./W020220426560828315227.doc" </w:instrText>
      </w:r>
      <w:r>
        <w:fldChar w:fldCharType="separate"/>
      </w:r>
      <w:r>
        <w:rPr>
          <w:rStyle w:val="12"/>
          <w:rFonts w:ascii="Times New Roman" w:hAnsi="Times New Roman" w:eastAsia="仿宋_GB2312" w:cs="Times New Roman"/>
          <w:bCs/>
          <w:sz w:val="32"/>
          <w:szCs w:val="32"/>
          <w:shd w:val="clear" w:color="auto" w:fill="FFFFFF"/>
        </w:rPr>
        <w:t>职业技能等级（岗位）要求</w:t>
      </w:r>
      <w:r>
        <w:rPr>
          <w:rStyle w:val="12"/>
          <w:rFonts w:ascii="Times New Roman" w:hAnsi="Times New Roman" w:eastAsia="仿宋_GB2312" w:cs="Times New Roman"/>
          <w:bCs/>
          <w:sz w:val="32"/>
          <w:szCs w:val="32"/>
          <w:shd w:val="clear" w:color="auto" w:fill="FFFFFF"/>
        </w:rPr>
        <w:fldChar w:fldCharType="end"/>
      </w:r>
    </w:p>
    <w:p w14:paraId="421E4B1F">
      <w:pPr>
        <w:pStyle w:val="9"/>
        <w:widowControl w:val="0"/>
        <w:adjustRightInd w:val="0"/>
        <w:snapToGrid w:val="0"/>
        <w:spacing w:before="0" w:beforeAutospacing="0" w:after="0" w:afterAutospacing="0" w:line="548" w:lineRule="exact"/>
        <w:ind w:firstLine="640" w:firstLineChars="200"/>
        <w:jc w:val="both"/>
        <w:rPr>
          <w:rFonts w:ascii="Times New Roman" w:hAnsi="Times New Roman" w:eastAsia="仿宋_GB2312" w:cs="Times New Roman"/>
          <w:color w:val="000000"/>
          <w:sz w:val="32"/>
          <w:szCs w:val="32"/>
          <w:shd w:val="clear" w:color="auto" w:fill="FFFFFF"/>
        </w:rPr>
      </w:pPr>
    </w:p>
    <w:p w14:paraId="38EA4E13">
      <w:pPr>
        <w:pStyle w:val="9"/>
        <w:widowControl w:val="0"/>
        <w:adjustRightInd w:val="0"/>
        <w:snapToGrid w:val="0"/>
        <w:spacing w:before="0" w:beforeAutospacing="0" w:after="0" w:afterAutospacing="0" w:line="548" w:lineRule="exact"/>
        <w:ind w:firstLine="640" w:firstLineChars="200"/>
        <w:jc w:val="both"/>
        <w:rPr>
          <w:rFonts w:ascii="Times New Roman" w:hAnsi="Times New Roman" w:eastAsia="仿宋_GB2312" w:cs="Times New Roman"/>
          <w:color w:val="000000"/>
          <w:sz w:val="32"/>
          <w:szCs w:val="32"/>
          <w:shd w:val="clear" w:color="auto" w:fill="FFFFFF"/>
        </w:rPr>
      </w:pPr>
    </w:p>
    <w:p w14:paraId="35E762F1">
      <w:pPr>
        <w:pStyle w:val="9"/>
        <w:widowControl w:val="0"/>
        <w:adjustRightInd w:val="0"/>
        <w:snapToGrid w:val="0"/>
        <w:spacing w:before="0" w:beforeAutospacing="0" w:after="0" w:afterAutospacing="0" w:line="548" w:lineRule="exact"/>
        <w:ind w:firstLine="640" w:firstLineChars="200"/>
        <w:jc w:val="both"/>
        <w:rPr>
          <w:rFonts w:ascii="Times New Roman" w:hAnsi="Times New Roman" w:eastAsia="仿宋_GB2312" w:cs="Times New Roman"/>
          <w:color w:val="000000"/>
          <w:sz w:val="32"/>
          <w:szCs w:val="32"/>
          <w:shd w:val="clear" w:color="auto" w:fill="FFFFFF"/>
        </w:rPr>
      </w:pPr>
    </w:p>
    <w:p w14:paraId="48553B01">
      <w:pPr>
        <w:pStyle w:val="9"/>
        <w:adjustRightInd w:val="0"/>
        <w:snapToGrid w:val="0"/>
        <w:spacing w:before="0" w:beforeAutospacing="0" w:after="0" w:afterAutospacing="0" w:line="548" w:lineRule="exact"/>
        <w:ind w:firstLine="4320" w:firstLineChars="135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shd w:val="clear" w:color="auto" w:fill="FFFFFF"/>
        </w:rPr>
        <w:t xml:space="preserve">四川省人力资源和社会保障厅  </w:t>
      </w:r>
    </w:p>
    <w:p w14:paraId="42203AE7">
      <w:pPr>
        <w:pStyle w:val="9"/>
        <w:adjustRightInd w:val="0"/>
        <w:snapToGrid w:val="0"/>
        <w:spacing w:before="0" w:beforeAutospacing="0" w:after="0" w:afterAutospacing="0" w:line="548" w:lineRule="exact"/>
        <w:ind w:firstLine="5120" w:firstLineChars="1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shd w:val="clear" w:color="auto" w:fill="FFFFFF"/>
        </w:rPr>
        <w:t xml:space="preserve">2023年12月18日        </w:t>
      </w:r>
    </w:p>
    <w:p w14:paraId="45C282E9">
      <w:pPr>
        <w:widowControl/>
        <w:ind w:firstLine="0"/>
        <w:jc w:val="left"/>
        <w:rPr>
          <w:rFonts w:eastAsia="宋体"/>
          <w:bCs/>
          <w:color w:val="000000"/>
          <w:szCs w:val="32"/>
        </w:rPr>
      </w:pPr>
      <w:r>
        <w:rPr>
          <w:color w:val="000000"/>
        </w:rPr>
        <w:br w:type="page"/>
      </w:r>
      <w:r>
        <w:rPr>
          <w:rFonts w:eastAsia="黑体"/>
          <w:bCs/>
          <w:color w:val="000000"/>
          <w:szCs w:val="32"/>
        </w:rPr>
        <w:t>附件</w:t>
      </w:r>
    </w:p>
    <w:p w14:paraId="5CFDD130">
      <w:pPr>
        <w:spacing w:line="200" w:lineRule="exact"/>
        <w:jc w:val="center"/>
        <w:rPr>
          <w:rFonts w:eastAsia="方正小标宋简体"/>
          <w:bCs/>
          <w:color w:val="000000"/>
          <w:sz w:val="44"/>
          <w:szCs w:val="44"/>
        </w:rPr>
      </w:pPr>
    </w:p>
    <w:p w14:paraId="6F22BB61">
      <w:pPr>
        <w:spacing w:line="560" w:lineRule="exact"/>
        <w:jc w:val="center"/>
        <w:rPr>
          <w:rFonts w:eastAsia="方正小标宋_GBK"/>
          <w:bCs/>
          <w:color w:val="000000"/>
          <w:sz w:val="44"/>
          <w:szCs w:val="44"/>
        </w:rPr>
      </w:pPr>
      <w:r>
        <w:rPr>
          <w:rFonts w:eastAsia="方正小标宋_GBK"/>
          <w:bCs/>
          <w:color w:val="000000"/>
          <w:sz w:val="44"/>
          <w:szCs w:val="44"/>
        </w:rPr>
        <w:t>职业技能等级（岗位）要求</w:t>
      </w:r>
    </w:p>
    <w:p w14:paraId="141B45DE">
      <w:pPr>
        <w:spacing w:line="300" w:lineRule="exact"/>
        <w:jc w:val="cente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676"/>
        <w:gridCol w:w="4401"/>
        <w:gridCol w:w="2011"/>
      </w:tblGrid>
      <w:tr w14:paraId="36E3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0" w:type="dxa"/>
            <w:noWrap/>
            <w:vAlign w:val="center"/>
          </w:tcPr>
          <w:p w14:paraId="0608223B">
            <w:pPr>
              <w:pStyle w:val="3"/>
              <w:spacing w:line="340" w:lineRule="exact"/>
              <w:ind w:hanging="23"/>
              <w:jc w:val="center"/>
              <w:rPr>
                <w:rFonts w:eastAsia="黑体"/>
                <w:bCs/>
                <w:color w:val="000000"/>
                <w:kern w:val="0"/>
                <w:sz w:val="28"/>
                <w:szCs w:val="28"/>
              </w:rPr>
            </w:pPr>
            <w:r>
              <w:rPr>
                <w:rFonts w:eastAsia="黑体"/>
                <w:bCs/>
                <w:color w:val="000000"/>
                <w:kern w:val="0"/>
                <w:sz w:val="28"/>
                <w:szCs w:val="28"/>
              </w:rPr>
              <w:t>序号</w:t>
            </w:r>
          </w:p>
        </w:tc>
        <w:tc>
          <w:tcPr>
            <w:tcW w:w="1532" w:type="dxa"/>
            <w:noWrap/>
            <w:vAlign w:val="center"/>
          </w:tcPr>
          <w:p w14:paraId="10890FC6">
            <w:pPr>
              <w:pStyle w:val="3"/>
              <w:spacing w:line="340" w:lineRule="exact"/>
              <w:ind w:firstLine="37"/>
              <w:jc w:val="center"/>
              <w:rPr>
                <w:rFonts w:eastAsia="黑体"/>
                <w:bCs/>
                <w:color w:val="000000"/>
                <w:kern w:val="0"/>
                <w:sz w:val="28"/>
                <w:szCs w:val="28"/>
              </w:rPr>
            </w:pPr>
            <w:r>
              <w:rPr>
                <w:rFonts w:eastAsia="黑体"/>
                <w:bCs/>
                <w:color w:val="000000"/>
                <w:kern w:val="0"/>
                <w:sz w:val="28"/>
                <w:szCs w:val="28"/>
              </w:rPr>
              <w:t>级别名称</w:t>
            </w:r>
          </w:p>
        </w:tc>
        <w:tc>
          <w:tcPr>
            <w:tcW w:w="4023" w:type="dxa"/>
            <w:noWrap/>
            <w:vAlign w:val="center"/>
          </w:tcPr>
          <w:p w14:paraId="0A53C64B">
            <w:pPr>
              <w:pStyle w:val="3"/>
              <w:spacing w:line="340" w:lineRule="exact"/>
              <w:ind w:firstLine="0"/>
              <w:jc w:val="center"/>
              <w:rPr>
                <w:rFonts w:eastAsia="黑体"/>
                <w:bCs/>
                <w:color w:val="000000"/>
                <w:kern w:val="0"/>
                <w:sz w:val="28"/>
                <w:szCs w:val="28"/>
              </w:rPr>
            </w:pPr>
            <w:r>
              <w:rPr>
                <w:rFonts w:eastAsia="黑体"/>
                <w:bCs/>
                <w:color w:val="000000"/>
                <w:kern w:val="0"/>
                <w:sz w:val="28"/>
                <w:szCs w:val="28"/>
              </w:rPr>
              <w:t>基本要求</w:t>
            </w:r>
          </w:p>
        </w:tc>
        <w:tc>
          <w:tcPr>
            <w:tcW w:w="1838" w:type="dxa"/>
            <w:noWrap/>
            <w:vAlign w:val="center"/>
          </w:tcPr>
          <w:p w14:paraId="4BDD13AE">
            <w:pPr>
              <w:pStyle w:val="3"/>
              <w:spacing w:line="340" w:lineRule="exact"/>
              <w:ind w:firstLine="0"/>
              <w:jc w:val="center"/>
              <w:rPr>
                <w:rFonts w:eastAsia="黑体"/>
                <w:bCs/>
                <w:color w:val="000000"/>
                <w:kern w:val="0"/>
                <w:sz w:val="28"/>
                <w:szCs w:val="28"/>
              </w:rPr>
            </w:pPr>
            <w:r>
              <w:rPr>
                <w:rFonts w:eastAsia="黑体"/>
                <w:bCs/>
                <w:color w:val="000000"/>
                <w:kern w:val="0"/>
                <w:sz w:val="28"/>
                <w:szCs w:val="28"/>
              </w:rPr>
              <w:t>实施机构</w:t>
            </w:r>
          </w:p>
        </w:tc>
      </w:tr>
      <w:tr w14:paraId="4493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14:paraId="452A3347">
            <w:pPr>
              <w:pStyle w:val="3"/>
              <w:spacing w:line="340" w:lineRule="exact"/>
              <w:ind w:hanging="23"/>
              <w:jc w:val="center"/>
              <w:rPr>
                <w:bCs/>
                <w:color w:val="000000"/>
                <w:kern w:val="0"/>
                <w:sz w:val="28"/>
                <w:szCs w:val="28"/>
              </w:rPr>
            </w:pPr>
            <w:r>
              <w:rPr>
                <w:bCs/>
                <w:color w:val="000000"/>
                <w:kern w:val="0"/>
                <w:sz w:val="28"/>
                <w:szCs w:val="28"/>
              </w:rPr>
              <w:t>1</w:t>
            </w:r>
          </w:p>
        </w:tc>
        <w:tc>
          <w:tcPr>
            <w:tcW w:w="1532" w:type="dxa"/>
            <w:noWrap/>
            <w:vAlign w:val="center"/>
          </w:tcPr>
          <w:p w14:paraId="5603046C">
            <w:pPr>
              <w:spacing w:line="340" w:lineRule="exact"/>
              <w:ind w:firstLine="37"/>
              <w:contextualSpacing/>
              <w:jc w:val="center"/>
              <w:rPr>
                <w:bCs/>
                <w:color w:val="000000"/>
                <w:kern w:val="0"/>
                <w:sz w:val="28"/>
                <w:szCs w:val="28"/>
              </w:rPr>
            </w:pPr>
            <w:r>
              <w:rPr>
                <w:bCs/>
                <w:color w:val="000000"/>
                <w:kern w:val="0"/>
                <w:sz w:val="28"/>
                <w:szCs w:val="28"/>
              </w:rPr>
              <w:t>学徒工</w:t>
            </w:r>
          </w:p>
        </w:tc>
        <w:tc>
          <w:tcPr>
            <w:tcW w:w="4023" w:type="dxa"/>
            <w:noWrap/>
            <w:vAlign w:val="center"/>
          </w:tcPr>
          <w:p w14:paraId="26DFEE7B">
            <w:pPr>
              <w:pStyle w:val="3"/>
              <w:adjustRightInd w:val="0"/>
              <w:spacing w:line="340" w:lineRule="exact"/>
              <w:ind w:firstLine="0"/>
              <w:jc w:val="both"/>
              <w:rPr>
                <w:bCs/>
                <w:color w:val="000000"/>
                <w:kern w:val="0"/>
                <w:sz w:val="28"/>
                <w:szCs w:val="28"/>
              </w:rPr>
            </w:pPr>
            <w:r>
              <w:rPr>
                <w:bCs/>
                <w:color w:val="000000"/>
                <w:kern w:val="0"/>
                <w:sz w:val="28"/>
                <w:szCs w:val="28"/>
              </w:rPr>
              <w:t>能够基本完成本职业某一方面的主要工作。</w:t>
            </w:r>
          </w:p>
        </w:tc>
        <w:tc>
          <w:tcPr>
            <w:tcW w:w="1838" w:type="dxa"/>
            <w:noWrap/>
            <w:vAlign w:val="center"/>
          </w:tcPr>
          <w:p w14:paraId="0AB12C89">
            <w:pPr>
              <w:pStyle w:val="3"/>
              <w:spacing w:line="340" w:lineRule="exact"/>
              <w:ind w:firstLine="0"/>
              <w:jc w:val="center"/>
              <w:rPr>
                <w:bCs/>
                <w:color w:val="000000"/>
                <w:kern w:val="0"/>
                <w:sz w:val="28"/>
                <w:szCs w:val="28"/>
              </w:rPr>
            </w:pPr>
            <w:r>
              <w:rPr>
                <w:bCs/>
                <w:color w:val="000000"/>
                <w:kern w:val="0"/>
                <w:sz w:val="28"/>
                <w:szCs w:val="28"/>
              </w:rPr>
              <w:t>用人单位</w:t>
            </w:r>
          </w:p>
        </w:tc>
      </w:tr>
      <w:tr w14:paraId="0711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14:paraId="6A8CE97D">
            <w:pPr>
              <w:pStyle w:val="3"/>
              <w:spacing w:line="340" w:lineRule="exact"/>
              <w:ind w:hanging="23"/>
              <w:jc w:val="center"/>
              <w:rPr>
                <w:bCs/>
                <w:color w:val="000000"/>
                <w:kern w:val="0"/>
                <w:sz w:val="28"/>
                <w:szCs w:val="28"/>
              </w:rPr>
            </w:pPr>
            <w:r>
              <w:rPr>
                <w:bCs/>
                <w:color w:val="000000"/>
                <w:kern w:val="0"/>
                <w:sz w:val="28"/>
                <w:szCs w:val="28"/>
              </w:rPr>
              <w:t>2</w:t>
            </w:r>
          </w:p>
        </w:tc>
        <w:tc>
          <w:tcPr>
            <w:tcW w:w="1532" w:type="dxa"/>
            <w:noWrap/>
            <w:vAlign w:val="center"/>
          </w:tcPr>
          <w:p w14:paraId="2A75A790">
            <w:pPr>
              <w:pStyle w:val="3"/>
              <w:spacing w:line="340" w:lineRule="exact"/>
              <w:ind w:firstLine="37"/>
              <w:jc w:val="center"/>
              <w:rPr>
                <w:bCs/>
                <w:color w:val="000000"/>
                <w:kern w:val="0"/>
                <w:sz w:val="28"/>
                <w:szCs w:val="28"/>
              </w:rPr>
            </w:pPr>
            <w:r>
              <w:rPr>
                <w:bCs/>
                <w:color w:val="000000"/>
                <w:kern w:val="0"/>
                <w:sz w:val="28"/>
                <w:szCs w:val="28"/>
              </w:rPr>
              <w:t>初级工</w:t>
            </w:r>
          </w:p>
        </w:tc>
        <w:tc>
          <w:tcPr>
            <w:tcW w:w="4023" w:type="dxa"/>
            <w:noWrap/>
            <w:vAlign w:val="center"/>
          </w:tcPr>
          <w:p w14:paraId="2D52E2FE">
            <w:pPr>
              <w:pStyle w:val="3"/>
              <w:spacing w:line="340" w:lineRule="exact"/>
              <w:ind w:firstLine="0"/>
              <w:jc w:val="both"/>
              <w:rPr>
                <w:bCs/>
                <w:color w:val="000000"/>
                <w:kern w:val="0"/>
                <w:sz w:val="28"/>
                <w:szCs w:val="28"/>
              </w:rPr>
            </w:pPr>
            <w:r>
              <w:rPr>
                <w:bCs/>
                <w:color w:val="000000"/>
                <w:kern w:val="0"/>
                <w:sz w:val="28"/>
                <w:szCs w:val="28"/>
              </w:rPr>
              <w:t>能够运用基本技能独立完成本职业的常规工作。</w:t>
            </w:r>
          </w:p>
        </w:tc>
        <w:tc>
          <w:tcPr>
            <w:tcW w:w="1838" w:type="dxa"/>
            <w:vMerge w:val="restart"/>
            <w:noWrap/>
            <w:vAlign w:val="center"/>
          </w:tcPr>
          <w:p w14:paraId="3A02D5AF">
            <w:pPr>
              <w:pStyle w:val="3"/>
              <w:spacing w:line="340" w:lineRule="exact"/>
              <w:ind w:firstLine="0"/>
              <w:jc w:val="both"/>
              <w:rPr>
                <w:bCs/>
                <w:color w:val="000000"/>
                <w:kern w:val="0"/>
                <w:sz w:val="28"/>
                <w:szCs w:val="28"/>
              </w:rPr>
            </w:pPr>
            <w:r>
              <w:rPr>
                <w:bCs/>
                <w:color w:val="000000"/>
                <w:kern w:val="0"/>
                <w:sz w:val="28"/>
                <w:szCs w:val="28"/>
              </w:rPr>
              <w:t>经人力资源社会保障部门备案通过的用人单位、院校和社会评价机构</w:t>
            </w:r>
          </w:p>
        </w:tc>
      </w:tr>
      <w:tr w14:paraId="6689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14:paraId="7D5084D2">
            <w:pPr>
              <w:pStyle w:val="3"/>
              <w:spacing w:line="340" w:lineRule="exact"/>
              <w:ind w:hanging="23"/>
              <w:jc w:val="center"/>
              <w:rPr>
                <w:bCs/>
                <w:color w:val="000000"/>
                <w:kern w:val="0"/>
                <w:sz w:val="28"/>
                <w:szCs w:val="28"/>
              </w:rPr>
            </w:pPr>
            <w:r>
              <w:rPr>
                <w:bCs/>
                <w:color w:val="000000"/>
                <w:kern w:val="0"/>
                <w:sz w:val="28"/>
                <w:szCs w:val="28"/>
              </w:rPr>
              <w:t>3</w:t>
            </w:r>
          </w:p>
        </w:tc>
        <w:tc>
          <w:tcPr>
            <w:tcW w:w="1532" w:type="dxa"/>
            <w:noWrap/>
            <w:vAlign w:val="center"/>
          </w:tcPr>
          <w:p w14:paraId="2803F2CB">
            <w:pPr>
              <w:pStyle w:val="3"/>
              <w:spacing w:line="340" w:lineRule="exact"/>
              <w:ind w:firstLine="37"/>
              <w:jc w:val="center"/>
              <w:rPr>
                <w:bCs/>
                <w:color w:val="000000"/>
                <w:kern w:val="0"/>
                <w:sz w:val="28"/>
                <w:szCs w:val="28"/>
              </w:rPr>
            </w:pPr>
            <w:r>
              <w:rPr>
                <w:bCs/>
                <w:color w:val="000000"/>
                <w:kern w:val="0"/>
                <w:sz w:val="28"/>
                <w:szCs w:val="28"/>
              </w:rPr>
              <w:t>中级工</w:t>
            </w:r>
          </w:p>
        </w:tc>
        <w:tc>
          <w:tcPr>
            <w:tcW w:w="4023" w:type="dxa"/>
            <w:noWrap/>
            <w:vAlign w:val="center"/>
          </w:tcPr>
          <w:p w14:paraId="77570187">
            <w:pPr>
              <w:pStyle w:val="3"/>
              <w:spacing w:line="340" w:lineRule="exact"/>
              <w:ind w:firstLine="0"/>
              <w:jc w:val="both"/>
              <w:rPr>
                <w:bCs/>
                <w:color w:val="000000"/>
                <w:kern w:val="0"/>
                <w:sz w:val="28"/>
                <w:szCs w:val="28"/>
              </w:rPr>
            </w:pPr>
            <w:r>
              <w:rPr>
                <w:bCs/>
                <w:color w:val="000000"/>
                <w:kern w:val="0"/>
                <w:sz w:val="28"/>
                <w:szCs w:val="28"/>
              </w:rPr>
              <w:t>能够熟练运用基本技能独立完成本职业的常规工作；在特定情况下，能够运用专门技能完成技术较为复杂的工作；能够与他人合作。</w:t>
            </w:r>
          </w:p>
        </w:tc>
        <w:tc>
          <w:tcPr>
            <w:tcW w:w="1838" w:type="dxa"/>
            <w:vMerge w:val="continue"/>
            <w:noWrap/>
            <w:vAlign w:val="center"/>
          </w:tcPr>
          <w:p w14:paraId="2FB4915E">
            <w:pPr>
              <w:pStyle w:val="3"/>
              <w:spacing w:line="340" w:lineRule="exact"/>
              <w:jc w:val="center"/>
              <w:rPr>
                <w:bCs/>
                <w:color w:val="000000"/>
                <w:kern w:val="0"/>
                <w:sz w:val="28"/>
                <w:szCs w:val="28"/>
              </w:rPr>
            </w:pPr>
          </w:p>
        </w:tc>
      </w:tr>
      <w:tr w14:paraId="047A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14:paraId="1B5A7A7C">
            <w:pPr>
              <w:pStyle w:val="3"/>
              <w:spacing w:line="340" w:lineRule="exact"/>
              <w:ind w:hanging="23"/>
              <w:jc w:val="center"/>
              <w:rPr>
                <w:bCs/>
                <w:color w:val="000000"/>
                <w:kern w:val="0"/>
                <w:sz w:val="28"/>
                <w:szCs w:val="28"/>
              </w:rPr>
            </w:pPr>
            <w:r>
              <w:rPr>
                <w:bCs/>
                <w:color w:val="000000"/>
                <w:kern w:val="0"/>
                <w:sz w:val="28"/>
                <w:szCs w:val="28"/>
              </w:rPr>
              <w:t>4</w:t>
            </w:r>
          </w:p>
        </w:tc>
        <w:tc>
          <w:tcPr>
            <w:tcW w:w="1532" w:type="dxa"/>
            <w:noWrap/>
            <w:vAlign w:val="center"/>
          </w:tcPr>
          <w:p w14:paraId="114A8761">
            <w:pPr>
              <w:pStyle w:val="3"/>
              <w:spacing w:line="340" w:lineRule="exact"/>
              <w:ind w:firstLine="37"/>
              <w:jc w:val="center"/>
              <w:rPr>
                <w:bCs/>
                <w:color w:val="000000"/>
                <w:kern w:val="0"/>
                <w:sz w:val="28"/>
                <w:szCs w:val="28"/>
              </w:rPr>
            </w:pPr>
            <w:r>
              <w:rPr>
                <w:bCs/>
                <w:color w:val="000000"/>
                <w:kern w:val="0"/>
                <w:sz w:val="28"/>
                <w:szCs w:val="28"/>
              </w:rPr>
              <w:t>高级工</w:t>
            </w:r>
          </w:p>
        </w:tc>
        <w:tc>
          <w:tcPr>
            <w:tcW w:w="4023" w:type="dxa"/>
            <w:noWrap/>
            <w:vAlign w:val="center"/>
          </w:tcPr>
          <w:p w14:paraId="0782DDDC">
            <w:pPr>
              <w:pStyle w:val="3"/>
              <w:spacing w:line="340" w:lineRule="exact"/>
              <w:ind w:firstLine="0"/>
              <w:jc w:val="both"/>
              <w:rPr>
                <w:bCs/>
                <w:color w:val="000000"/>
                <w:kern w:val="0"/>
                <w:sz w:val="28"/>
                <w:szCs w:val="28"/>
              </w:rPr>
            </w:pPr>
            <w:r>
              <w:rPr>
                <w:bCs/>
                <w:color w:val="000000"/>
                <w:kern w:val="0"/>
                <w:sz w:val="28"/>
                <w:szCs w:val="28"/>
              </w:rPr>
              <w:t>能够熟练运用基本技能和专门技能完成本职业较为复杂的工作，包括完成部分非常规性的工作；能够独立处理工作中出现的问题；能够指导和培训初、中级工。</w:t>
            </w:r>
          </w:p>
        </w:tc>
        <w:tc>
          <w:tcPr>
            <w:tcW w:w="1838" w:type="dxa"/>
            <w:vMerge w:val="continue"/>
            <w:noWrap/>
            <w:vAlign w:val="center"/>
          </w:tcPr>
          <w:p w14:paraId="503D642E">
            <w:pPr>
              <w:pStyle w:val="3"/>
              <w:spacing w:line="340" w:lineRule="exact"/>
              <w:jc w:val="center"/>
              <w:rPr>
                <w:bCs/>
                <w:color w:val="000000"/>
                <w:kern w:val="0"/>
                <w:sz w:val="28"/>
                <w:szCs w:val="28"/>
              </w:rPr>
            </w:pPr>
          </w:p>
        </w:tc>
      </w:tr>
      <w:tr w14:paraId="2336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14:paraId="28CF9E3D">
            <w:pPr>
              <w:pStyle w:val="3"/>
              <w:spacing w:line="340" w:lineRule="exact"/>
              <w:ind w:hanging="23"/>
              <w:jc w:val="center"/>
              <w:rPr>
                <w:bCs/>
                <w:color w:val="000000"/>
                <w:kern w:val="0"/>
                <w:sz w:val="28"/>
                <w:szCs w:val="28"/>
              </w:rPr>
            </w:pPr>
            <w:r>
              <w:rPr>
                <w:bCs/>
                <w:color w:val="000000"/>
                <w:kern w:val="0"/>
                <w:sz w:val="28"/>
                <w:szCs w:val="28"/>
              </w:rPr>
              <w:t>5</w:t>
            </w:r>
          </w:p>
        </w:tc>
        <w:tc>
          <w:tcPr>
            <w:tcW w:w="1532" w:type="dxa"/>
            <w:noWrap/>
            <w:vAlign w:val="center"/>
          </w:tcPr>
          <w:p w14:paraId="7D576DC1">
            <w:pPr>
              <w:pStyle w:val="3"/>
              <w:spacing w:line="340" w:lineRule="exact"/>
              <w:ind w:firstLine="37"/>
              <w:jc w:val="center"/>
              <w:rPr>
                <w:bCs/>
                <w:color w:val="000000"/>
                <w:kern w:val="0"/>
                <w:sz w:val="28"/>
                <w:szCs w:val="28"/>
              </w:rPr>
            </w:pPr>
            <w:r>
              <w:rPr>
                <w:bCs/>
                <w:color w:val="000000"/>
                <w:kern w:val="0"/>
                <w:sz w:val="28"/>
                <w:szCs w:val="28"/>
              </w:rPr>
              <w:t>技师</w:t>
            </w:r>
          </w:p>
        </w:tc>
        <w:tc>
          <w:tcPr>
            <w:tcW w:w="4023" w:type="dxa"/>
            <w:noWrap/>
            <w:vAlign w:val="center"/>
          </w:tcPr>
          <w:p w14:paraId="7473406A">
            <w:pPr>
              <w:pStyle w:val="3"/>
              <w:spacing w:line="340" w:lineRule="exact"/>
              <w:ind w:firstLine="0"/>
              <w:jc w:val="both"/>
              <w:rPr>
                <w:bCs/>
                <w:color w:val="000000"/>
                <w:kern w:val="0"/>
                <w:sz w:val="28"/>
                <w:szCs w:val="28"/>
              </w:rPr>
            </w:pPr>
            <w:r>
              <w:rPr>
                <w:bCs/>
                <w:color w:val="000000"/>
                <w:kern w:val="0"/>
                <w:sz w:val="28"/>
                <w:szCs w:val="28"/>
              </w:rPr>
              <w:t>能够熟练运用专门技能和特殊技能完成本职业复杂的、非常规性的工作；掌握本职业的关键技术技能，能够独立处理和解决技术或工艺难题；在技术技能方面有创新；能够指导和培训初、中、高级工；具有一定的技术管理能力。</w:t>
            </w:r>
          </w:p>
        </w:tc>
        <w:tc>
          <w:tcPr>
            <w:tcW w:w="1838" w:type="dxa"/>
            <w:vMerge w:val="continue"/>
            <w:noWrap/>
            <w:vAlign w:val="center"/>
          </w:tcPr>
          <w:p w14:paraId="751EED7F">
            <w:pPr>
              <w:pStyle w:val="3"/>
              <w:spacing w:line="340" w:lineRule="exact"/>
              <w:jc w:val="center"/>
              <w:rPr>
                <w:bCs/>
                <w:color w:val="000000"/>
                <w:kern w:val="0"/>
                <w:sz w:val="28"/>
                <w:szCs w:val="28"/>
              </w:rPr>
            </w:pPr>
          </w:p>
        </w:tc>
      </w:tr>
      <w:tr w14:paraId="75A2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14:paraId="17D6C74B">
            <w:pPr>
              <w:pStyle w:val="3"/>
              <w:spacing w:line="340" w:lineRule="exact"/>
              <w:ind w:hanging="23"/>
              <w:jc w:val="center"/>
              <w:rPr>
                <w:bCs/>
                <w:color w:val="000000"/>
                <w:kern w:val="0"/>
                <w:sz w:val="28"/>
                <w:szCs w:val="28"/>
              </w:rPr>
            </w:pPr>
            <w:r>
              <w:rPr>
                <w:bCs/>
                <w:color w:val="000000"/>
                <w:kern w:val="0"/>
                <w:sz w:val="28"/>
                <w:szCs w:val="28"/>
              </w:rPr>
              <w:t>6</w:t>
            </w:r>
          </w:p>
        </w:tc>
        <w:tc>
          <w:tcPr>
            <w:tcW w:w="1532" w:type="dxa"/>
            <w:noWrap/>
            <w:vAlign w:val="center"/>
          </w:tcPr>
          <w:p w14:paraId="791C3B66">
            <w:pPr>
              <w:pStyle w:val="3"/>
              <w:spacing w:line="340" w:lineRule="exact"/>
              <w:ind w:firstLine="37"/>
              <w:jc w:val="center"/>
              <w:rPr>
                <w:bCs/>
                <w:color w:val="000000"/>
                <w:kern w:val="0"/>
                <w:sz w:val="28"/>
                <w:szCs w:val="28"/>
              </w:rPr>
            </w:pPr>
            <w:r>
              <w:rPr>
                <w:bCs/>
                <w:color w:val="000000"/>
                <w:kern w:val="0"/>
                <w:sz w:val="28"/>
                <w:szCs w:val="28"/>
              </w:rPr>
              <w:t>高级技师</w:t>
            </w:r>
          </w:p>
        </w:tc>
        <w:tc>
          <w:tcPr>
            <w:tcW w:w="4023" w:type="dxa"/>
            <w:noWrap/>
            <w:vAlign w:val="center"/>
          </w:tcPr>
          <w:p w14:paraId="443206B0">
            <w:pPr>
              <w:pStyle w:val="3"/>
              <w:spacing w:line="300" w:lineRule="exact"/>
              <w:ind w:firstLine="0"/>
              <w:jc w:val="both"/>
              <w:rPr>
                <w:bCs/>
                <w:color w:val="000000"/>
                <w:kern w:val="0"/>
                <w:sz w:val="28"/>
                <w:szCs w:val="28"/>
              </w:rPr>
            </w:pPr>
            <w:r>
              <w:rPr>
                <w:bCs/>
                <w:color w:val="000000"/>
                <w:kern w:val="0"/>
                <w:sz w:val="28"/>
                <w:szCs w:val="28"/>
              </w:rPr>
              <w:t>能够熟练运用专门技能和特殊技能在本职业的各个领域完成复杂的、非常规性工作；熟练掌握本职业的关键技术技能，能够独立处理和解决高难度的技术问题或工艺难题；在技术攻关和工艺革新方面有创新；能够组织开展技术改造、技术革新活动；能够组织开展系统的专业技术培训；具有技术管理能力。</w:t>
            </w:r>
          </w:p>
        </w:tc>
        <w:tc>
          <w:tcPr>
            <w:tcW w:w="1838" w:type="dxa"/>
            <w:vMerge w:val="continue"/>
            <w:noWrap/>
            <w:vAlign w:val="center"/>
          </w:tcPr>
          <w:p w14:paraId="0904CBDE">
            <w:pPr>
              <w:pStyle w:val="3"/>
              <w:spacing w:line="340" w:lineRule="exact"/>
              <w:jc w:val="center"/>
              <w:rPr>
                <w:bCs/>
                <w:color w:val="000000"/>
                <w:kern w:val="0"/>
                <w:sz w:val="28"/>
                <w:szCs w:val="28"/>
              </w:rPr>
            </w:pPr>
          </w:p>
        </w:tc>
      </w:tr>
      <w:tr w14:paraId="3BC4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jc w:val="center"/>
        </w:trPr>
        <w:tc>
          <w:tcPr>
            <w:tcW w:w="900" w:type="dxa"/>
            <w:noWrap/>
            <w:vAlign w:val="center"/>
          </w:tcPr>
          <w:p w14:paraId="701C64BA">
            <w:pPr>
              <w:pStyle w:val="3"/>
              <w:spacing w:line="340" w:lineRule="exact"/>
              <w:ind w:hanging="23"/>
              <w:jc w:val="center"/>
              <w:rPr>
                <w:bCs/>
                <w:color w:val="000000"/>
                <w:kern w:val="0"/>
                <w:sz w:val="28"/>
                <w:szCs w:val="28"/>
              </w:rPr>
            </w:pPr>
            <w:r>
              <w:rPr>
                <w:bCs/>
                <w:color w:val="000000"/>
                <w:kern w:val="0"/>
                <w:sz w:val="28"/>
                <w:szCs w:val="28"/>
              </w:rPr>
              <w:t>7</w:t>
            </w:r>
          </w:p>
        </w:tc>
        <w:tc>
          <w:tcPr>
            <w:tcW w:w="1532" w:type="dxa"/>
            <w:noWrap/>
            <w:vAlign w:val="center"/>
          </w:tcPr>
          <w:p w14:paraId="528D6BD0">
            <w:pPr>
              <w:pStyle w:val="3"/>
              <w:spacing w:line="340" w:lineRule="exact"/>
              <w:ind w:firstLine="37"/>
              <w:jc w:val="center"/>
              <w:rPr>
                <w:bCs/>
                <w:color w:val="000000"/>
                <w:kern w:val="0"/>
                <w:sz w:val="28"/>
                <w:szCs w:val="28"/>
              </w:rPr>
            </w:pPr>
            <w:r>
              <w:rPr>
                <w:bCs/>
                <w:color w:val="000000"/>
                <w:kern w:val="0"/>
                <w:sz w:val="28"/>
                <w:szCs w:val="28"/>
              </w:rPr>
              <w:t>特级技师</w:t>
            </w:r>
          </w:p>
        </w:tc>
        <w:tc>
          <w:tcPr>
            <w:tcW w:w="4023" w:type="dxa"/>
            <w:noWrap/>
            <w:vAlign w:val="center"/>
          </w:tcPr>
          <w:p w14:paraId="0694C642">
            <w:pPr>
              <w:pStyle w:val="3"/>
              <w:spacing w:line="340" w:lineRule="exact"/>
              <w:ind w:firstLine="0"/>
              <w:jc w:val="both"/>
              <w:rPr>
                <w:bCs/>
                <w:color w:val="000000"/>
                <w:kern w:val="0"/>
                <w:sz w:val="28"/>
                <w:szCs w:val="28"/>
              </w:rPr>
            </w:pPr>
            <w:r>
              <w:rPr>
                <w:bCs/>
                <w:color w:val="000000"/>
                <w:kern w:val="0"/>
                <w:sz w:val="28"/>
                <w:szCs w:val="28"/>
              </w:rPr>
              <w:t>在生产科研一线从事技术技能工作、业绩贡献突出的“企业高技能领军人才”。能够熟练运用专门技能和特殊技能在本职业的各个领域完成复杂的、非常规性工作；精通本职业及相关职业的重要理论原理及关键技术技能，能够独立处理和解决高难度的技术问题或工艺难题；承担传授技艺的任务，在技能人才梯队培养上作出突出贡献。</w:t>
            </w:r>
          </w:p>
        </w:tc>
        <w:tc>
          <w:tcPr>
            <w:tcW w:w="1838" w:type="dxa"/>
            <w:noWrap/>
            <w:vAlign w:val="center"/>
          </w:tcPr>
          <w:p w14:paraId="26E25B12">
            <w:pPr>
              <w:pStyle w:val="3"/>
              <w:spacing w:line="340" w:lineRule="exact"/>
              <w:ind w:firstLine="0"/>
              <w:jc w:val="both"/>
              <w:rPr>
                <w:bCs/>
                <w:color w:val="000000"/>
                <w:kern w:val="0"/>
                <w:sz w:val="28"/>
                <w:szCs w:val="28"/>
              </w:rPr>
            </w:pPr>
            <w:r>
              <w:rPr>
                <w:bCs/>
                <w:color w:val="000000"/>
                <w:kern w:val="0"/>
                <w:sz w:val="28"/>
                <w:szCs w:val="28"/>
              </w:rPr>
              <w:t>省级及以上人力资源社会保障部门指导用人单位实施</w:t>
            </w:r>
          </w:p>
        </w:tc>
      </w:tr>
      <w:tr w14:paraId="6569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0" w:type="dxa"/>
            <w:noWrap/>
            <w:vAlign w:val="center"/>
          </w:tcPr>
          <w:p w14:paraId="6BF3131B">
            <w:pPr>
              <w:pStyle w:val="3"/>
              <w:spacing w:line="340" w:lineRule="exact"/>
              <w:ind w:hanging="23"/>
              <w:jc w:val="center"/>
              <w:rPr>
                <w:bCs/>
                <w:color w:val="000000"/>
                <w:kern w:val="0"/>
                <w:sz w:val="28"/>
                <w:szCs w:val="28"/>
              </w:rPr>
            </w:pPr>
            <w:r>
              <w:rPr>
                <w:bCs/>
                <w:color w:val="000000"/>
                <w:kern w:val="0"/>
                <w:sz w:val="28"/>
                <w:szCs w:val="28"/>
              </w:rPr>
              <w:t>8</w:t>
            </w:r>
          </w:p>
        </w:tc>
        <w:tc>
          <w:tcPr>
            <w:tcW w:w="1532" w:type="dxa"/>
            <w:noWrap/>
            <w:vAlign w:val="center"/>
          </w:tcPr>
          <w:p w14:paraId="6A2FF746">
            <w:pPr>
              <w:pStyle w:val="3"/>
              <w:spacing w:line="340" w:lineRule="exact"/>
              <w:ind w:firstLine="37"/>
              <w:jc w:val="center"/>
              <w:rPr>
                <w:bCs/>
                <w:color w:val="000000"/>
                <w:kern w:val="0"/>
                <w:sz w:val="28"/>
                <w:szCs w:val="28"/>
              </w:rPr>
            </w:pPr>
            <w:r>
              <w:rPr>
                <w:bCs/>
                <w:color w:val="000000"/>
                <w:kern w:val="0"/>
                <w:sz w:val="28"/>
                <w:szCs w:val="28"/>
              </w:rPr>
              <w:t>首席技师</w:t>
            </w:r>
          </w:p>
        </w:tc>
        <w:tc>
          <w:tcPr>
            <w:tcW w:w="4023" w:type="dxa"/>
            <w:noWrap/>
            <w:vAlign w:val="center"/>
          </w:tcPr>
          <w:p w14:paraId="421D780F">
            <w:pPr>
              <w:spacing w:line="340" w:lineRule="exact"/>
              <w:ind w:firstLine="0"/>
              <w:contextualSpacing/>
              <w:rPr>
                <w:bCs/>
                <w:color w:val="000000"/>
                <w:kern w:val="0"/>
                <w:sz w:val="28"/>
                <w:szCs w:val="28"/>
              </w:rPr>
            </w:pPr>
            <w:r>
              <w:rPr>
                <w:bCs/>
                <w:color w:val="000000"/>
                <w:kern w:val="0"/>
                <w:sz w:val="28"/>
                <w:szCs w:val="28"/>
              </w:rPr>
              <w:t>在技术技能领域作出重大贡献，或在本地区、本行业企业具有公认的高超技能、精湛技艺的“地方或行业企业高技能领军人才”。为地方、行业企业高技能人才队伍建设作出突出贡献；为国家重大技术攻关、成果转化、技术创新、发明等作出突出贡献，在地方、行业企业的技术进步与发展中发挥关键作用，专业水平在地方、行业企业具有很高认可度和影响力。</w:t>
            </w:r>
          </w:p>
        </w:tc>
        <w:tc>
          <w:tcPr>
            <w:tcW w:w="1838" w:type="dxa"/>
            <w:noWrap/>
            <w:vAlign w:val="center"/>
          </w:tcPr>
          <w:p w14:paraId="225ABAAA">
            <w:pPr>
              <w:pStyle w:val="3"/>
              <w:spacing w:line="340" w:lineRule="exact"/>
              <w:ind w:firstLine="0"/>
              <w:jc w:val="both"/>
              <w:rPr>
                <w:bCs/>
                <w:color w:val="000000"/>
                <w:kern w:val="0"/>
                <w:sz w:val="28"/>
                <w:szCs w:val="28"/>
              </w:rPr>
            </w:pPr>
            <w:r>
              <w:rPr>
                <w:bCs/>
                <w:color w:val="000000"/>
                <w:kern w:val="0"/>
                <w:sz w:val="28"/>
                <w:szCs w:val="28"/>
              </w:rPr>
              <w:t>省级及以上人力资源社会保障部门、国务院有关行业主管部门指导用人单位实施</w:t>
            </w:r>
          </w:p>
        </w:tc>
      </w:tr>
    </w:tbl>
    <w:p w14:paraId="09BA0790">
      <w:pPr>
        <w:pStyle w:val="3"/>
        <w:spacing w:line="360" w:lineRule="exact"/>
        <w:ind w:left="560" w:hanging="560" w:hangingChars="200"/>
        <w:jc w:val="both"/>
        <w:rPr>
          <w:bCs/>
          <w:color w:val="000000"/>
          <w:sz w:val="28"/>
          <w:szCs w:val="28"/>
        </w:rPr>
      </w:pPr>
    </w:p>
    <w:p w14:paraId="56A32CD5">
      <w:pPr>
        <w:pStyle w:val="3"/>
        <w:spacing w:line="500" w:lineRule="exact"/>
        <w:ind w:firstLine="0"/>
        <w:jc w:val="both"/>
        <w:rPr>
          <w:bCs/>
          <w:color w:val="000000"/>
          <w:sz w:val="28"/>
          <w:szCs w:val="28"/>
        </w:rPr>
      </w:pPr>
      <w:r>
        <w:rPr>
          <w:bCs/>
          <w:color w:val="000000"/>
          <w:sz w:val="28"/>
          <w:szCs w:val="28"/>
        </w:rPr>
        <w:t>注：1.行业企业可结合实际对上述要求进行修订完善。</w:t>
      </w:r>
    </w:p>
    <w:p w14:paraId="1DDFA856">
      <w:pPr>
        <w:pStyle w:val="3"/>
        <w:spacing w:line="500" w:lineRule="exact"/>
        <w:ind w:left="837" w:leftChars="174" w:hanging="280" w:hangingChars="100"/>
        <w:jc w:val="both"/>
        <w:rPr>
          <w:bCs/>
          <w:color w:val="000000"/>
          <w:sz w:val="28"/>
          <w:szCs w:val="28"/>
        </w:rPr>
        <w:sectPr>
          <w:footerReference r:id="rId5" w:type="default"/>
          <w:footerReference r:id="rId6" w:type="even"/>
          <w:pgSz w:w="11906" w:h="16838"/>
          <w:pgMar w:top="2098" w:right="1474" w:bottom="1985" w:left="1588" w:header="851" w:footer="1418" w:gutter="0"/>
          <w:cols w:space="425" w:num="1"/>
          <w:docGrid w:type="lines" w:linePitch="435" w:charSpace="0"/>
        </w:sectPr>
      </w:pPr>
      <w:r>
        <w:rPr>
          <w:bCs/>
          <w:color w:val="000000"/>
          <w:sz w:val="28"/>
          <w:szCs w:val="28"/>
        </w:rPr>
        <w:t>2.上述职业技能等级证书样式和编码按照有关规定确定。证书编码第16位为大写英文字母或阿拉伯数字，其中“X”表示“学徒工</w:t>
      </w:r>
      <w:r>
        <w:rPr>
          <w:rFonts w:hint="eastAsia"/>
          <w:bCs/>
          <w:color w:val="000000"/>
          <w:sz w:val="28"/>
          <w:szCs w:val="28"/>
          <w:lang w:eastAsia="zh-CN"/>
        </w:rPr>
        <w:t>”“</w:t>
      </w:r>
      <w:r>
        <w:rPr>
          <w:bCs/>
          <w:color w:val="000000"/>
          <w:sz w:val="28"/>
          <w:szCs w:val="28"/>
        </w:rPr>
        <w:t>T”表示“特级技师</w:t>
      </w:r>
      <w:r>
        <w:rPr>
          <w:rFonts w:hint="eastAsia"/>
          <w:bCs/>
          <w:color w:val="000000"/>
          <w:sz w:val="28"/>
          <w:szCs w:val="28"/>
          <w:lang w:eastAsia="zh-CN"/>
        </w:rPr>
        <w:t>”“</w:t>
      </w:r>
      <w:r>
        <w:rPr>
          <w:bCs/>
          <w:color w:val="000000"/>
          <w:sz w:val="28"/>
          <w:szCs w:val="28"/>
        </w:rPr>
        <w:t>S”表示“首席技师</w:t>
      </w:r>
      <w:r>
        <w:rPr>
          <w:rFonts w:hint="eastAsia"/>
          <w:bCs/>
          <w:color w:val="000000"/>
          <w:sz w:val="28"/>
          <w:szCs w:val="28"/>
          <w:lang w:eastAsia="zh-CN"/>
        </w:rPr>
        <w:t>”“</w:t>
      </w:r>
      <w:r>
        <w:rPr>
          <w:bCs/>
          <w:color w:val="000000"/>
          <w:sz w:val="28"/>
          <w:szCs w:val="28"/>
        </w:rPr>
        <w:t>5、4、3、2、1”分别表示“初级工、中级工、高级工、技师、高级技师”。</w:t>
      </w:r>
    </w:p>
    <w:p w14:paraId="7A7A5F71">
      <w:pPr>
        <w:adjustRightInd w:val="0"/>
        <w:snapToGrid w:val="0"/>
        <w:spacing w:line="540" w:lineRule="exact"/>
        <w:ind w:firstLine="0"/>
        <w:jc w:val="left"/>
        <w:rPr>
          <w:sz w:val="28"/>
          <w:szCs w:val="28"/>
        </w:rPr>
      </w:pPr>
    </w:p>
    <w:sectPr>
      <w:footerReference r:id="rId7" w:type="default"/>
      <w:footerReference r:id="rId8" w:type="even"/>
      <w:pgSz w:w="11906" w:h="16838"/>
      <w:pgMar w:top="2098" w:right="1474" w:bottom="1985" w:left="1588" w:header="851" w:footer="1418"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C1F41D-E577-4F66-90DA-08D74083B1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D3F86F-49B2-4926-A02C-CF1F880277B0}"/>
  </w:font>
  <w:font w:name="仿宋_GB2312">
    <w:panose1 w:val="02010609030101010101"/>
    <w:charset w:val="86"/>
    <w:family w:val="modern"/>
    <w:pitch w:val="default"/>
    <w:sig w:usb0="00000001" w:usb1="080E0000" w:usb2="00000000" w:usb3="00000000" w:csb0="00040000" w:csb1="00000000"/>
    <w:embedRegular r:id="rId3" w:fontKey="{43118875-19C7-463D-81E6-B439AAF700C6}"/>
  </w:font>
  <w:font w:name="方正小标宋简体">
    <w:panose1 w:val="02000000000000000000"/>
    <w:charset w:val="86"/>
    <w:family w:val="auto"/>
    <w:pitch w:val="default"/>
    <w:sig w:usb0="00000001" w:usb1="08000000" w:usb2="00000000" w:usb3="00000000" w:csb0="00040000" w:csb1="00000000"/>
    <w:embedRegular r:id="rId4" w:fontKey="{FD8E4F94-D2FA-4380-8F8F-B5DD489EE7AE}"/>
  </w:font>
  <w:font w:name="方正小标宋_GBK">
    <w:panose1 w:val="03000509000000000000"/>
    <w:charset w:val="86"/>
    <w:family w:val="script"/>
    <w:pitch w:val="default"/>
    <w:sig w:usb0="00000001" w:usb1="080E0000" w:usb2="00000000" w:usb3="00000000" w:csb0="00040000" w:csb1="00000000"/>
    <w:embedRegular r:id="rId5" w:fontKey="{69C04CDB-4FE2-4BAA-ACF1-E01F593CF5E8}"/>
  </w:font>
  <w:font w:name="楷体_GB2312">
    <w:altName w:val="楷体"/>
    <w:panose1 w:val="02010609030101010101"/>
    <w:charset w:val="86"/>
    <w:family w:val="modern"/>
    <w:pitch w:val="default"/>
    <w:sig w:usb0="00000000" w:usb1="00000000" w:usb2="00000000" w:usb3="00000000" w:csb0="00040000" w:csb1="00000000"/>
    <w:embedRegular r:id="rId6" w:fontKey="{6B83A1BF-635C-4EC0-9A63-E81D07C0E4C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2692392"/>
      <w:docPartObj>
        <w:docPartGallery w:val="autotext"/>
      </w:docPartObj>
    </w:sdtPr>
    <w:sdtEndPr>
      <w:rPr>
        <w:rFonts w:ascii="宋体" w:hAnsi="宋体" w:eastAsia="宋体"/>
        <w:sz w:val="28"/>
        <w:szCs w:val="28"/>
      </w:rPr>
    </w:sdtEndPr>
    <w:sdtContent>
      <w:p w14:paraId="6BFDC497">
        <w:pPr>
          <w:pStyle w:val="3"/>
          <w:wordWrap w:val="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2692404"/>
      <w:docPartObj>
        <w:docPartGallery w:val="autotext"/>
      </w:docPartObj>
    </w:sdtPr>
    <w:sdtEndPr>
      <w:rPr>
        <w:rFonts w:ascii="宋体" w:hAnsi="宋体" w:eastAsia="宋体"/>
        <w:sz w:val="28"/>
        <w:szCs w:val="28"/>
      </w:rPr>
    </w:sdtEndPr>
    <w:sdtContent>
      <w:p w14:paraId="623E3F57">
        <w:pPr>
          <w:pStyle w:val="3"/>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99B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7B7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4NjZlMzgzOTY5YzM5NGNlNjA0YWI1ODk4NTEzNDAifQ=="/>
  </w:docVars>
  <w:rsids>
    <w:rsidRoot w:val="7B8E2FC8"/>
    <w:rsid w:val="000458FA"/>
    <w:rsid w:val="00207D59"/>
    <w:rsid w:val="003235D2"/>
    <w:rsid w:val="003A2092"/>
    <w:rsid w:val="0054067C"/>
    <w:rsid w:val="006C38D3"/>
    <w:rsid w:val="00791891"/>
    <w:rsid w:val="00A81B12"/>
    <w:rsid w:val="00AF417F"/>
    <w:rsid w:val="00B34A43"/>
    <w:rsid w:val="00B73B94"/>
    <w:rsid w:val="00D139CB"/>
    <w:rsid w:val="00D21FCF"/>
    <w:rsid w:val="0C0C4EDE"/>
    <w:rsid w:val="2D207BA7"/>
    <w:rsid w:val="78EE4F79"/>
    <w:rsid w:val="7B8E2FC8"/>
    <w:rsid w:val="D9DE09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paragraph" w:styleId="5">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40" w:lineRule="exact"/>
      <w:ind w:firstLine="0"/>
      <w:jc w:val="center"/>
    </w:pPr>
    <w:rPr>
      <w:rFonts w:eastAsia="方正小标宋简体"/>
      <w:bCs/>
      <w:sz w:val="44"/>
    </w:rPr>
  </w:style>
  <w:style w:type="paragraph" w:styleId="3">
    <w:name w:val="footer"/>
    <w:basedOn w:val="1"/>
    <w:next w:val="4"/>
    <w:link w:val="15"/>
    <w:qFormat/>
    <w:uiPriority w:val="99"/>
    <w:pPr>
      <w:tabs>
        <w:tab w:val="center" w:pos="4153"/>
        <w:tab w:val="right" w:pos="8306"/>
      </w:tabs>
      <w:snapToGrid w:val="0"/>
      <w:spacing w:line="240" w:lineRule="atLeast"/>
      <w:jc w:val="left"/>
    </w:pPr>
    <w:rPr>
      <w:sz w:val="18"/>
    </w:rPr>
  </w:style>
  <w:style w:type="paragraph" w:styleId="4">
    <w:name w:val="index 5"/>
    <w:basedOn w:val="1"/>
    <w:next w:val="1"/>
    <w:qFormat/>
    <w:uiPriority w:val="0"/>
    <w:pPr>
      <w:ind w:left="1680"/>
    </w:pPr>
    <w:rPr>
      <w:rFonts w:hint="eastAsia" w:ascii="Calibri" w:hAnsi="Calibri" w:eastAsia="宋体"/>
      <w:sz w:val="24"/>
    </w:rPr>
  </w:style>
  <w:style w:type="paragraph" w:styleId="6">
    <w:name w:val="Balloon Text"/>
    <w:basedOn w:val="1"/>
    <w:link w:val="16"/>
    <w:semiHidden/>
    <w:unhideWhenUsed/>
    <w:qFormat/>
    <w:uiPriority w:val="0"/>
    <w:pPr>
      <w:spacing w:line="240" w:lineRule="auto"/>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1"/>
    <w:next w:val="1"/>
    <w:link w:val="14"/>
    <w:qFormat/>
    <w:uiPriority w:val="0"/>
    <w:pPr>
      <w:ind w:firstLine="0"/>
      <w:jc w:val="center"/>
    </w:pPr>
    <w:rPr>
      <w:rFonts w:eastAsia="黑体"/>
    </w:rPr>
  </w:style>
  <w:style w:type="paragraph" w:styleId="9">
    <w:name w:val="Normal (Web)"/>
    <w:basedOn w:val="1"/>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styleId="12">
    <w:name w:val="Hyperlink"/>
    <w:qFormat/>
    <w:uiPriority w:val="0"/>
    <w:rPr>
      <w:color w:val="000000"/>
      <w:u w:val="none"/>
    </w:rPr>
  </w:style>
  <w:style w:type="character" w:customStyle="1" w:styleId="13">
    <w:name w:val="页眉 字符"/>
    <w:basedOn w:val="11"/>
    <w:link w:val="7"/>
    <w:qFormat/>
    <w:uiPriority w:val="0"/>
    <w:rPr>
      <w:rFonts w:ascii="Times New Roman" w:hAnsi="Times New Roman" w:eastAsia="仿宋_GB2312" w:cs="Times New Roman"/>
      <w:kern w:val="2"/>
      <w:sz w:val="18"/>
      <w:szCs w:val="18"/>
    </w:rPr>
  </w:style>
  <w:style w:type="character" w:customStyle="1" w:styleId="14">
    <w:name w:val="副标题 字符"/>
    <w:basedOn w:val="11"/>
    <w:link w:val="8"/>
    <w:qFormat/>
    <w:uiPriority w:val="0"/>
    <w:rPr>
      <w:rFonts w:ascii="Times New Roman" w:hAnsi="Times New Roman" w:eastAsia="黑体" w:cs="Times New Roman"/>
      <w:kern w:val="2"/>
      <w:sz w:val="32"/>
    </w:rPr>
  </w:style>
  <w:style w:type="character" w:customStyle="1" w:styleId="15">
    <w:name w:val="页脚 字符"/>
    <w:basedOn w:val="11"/>
    <w:link w:val="3"/>
    <w:qFormat/>
    <w:uiPriority w:val="99"/>
    <w:rPr>
      <w:rFonts w:ascii="Times New Roman" w:hAnsi="Times New Roman" w:eastAsia="仿宋_GB2312" w:cs="Times New Roman"/>
      <w:kern w:val="2"/>
      <w:sz w:val="18"/>
    </w:rPr>
  </w:style>
  <w:style w:type="character" w:customStyle="1" w:styleId="16">
    <w:name w:val="批注框文本 字符"/>
    <w:basedOn w:val="11"/>
    <w:link w:val="6"/>
    <w:semiHidden/>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7077</Words>
  <Characters>7121</Characters>
  <Lines>52</Lines>
  <Paragraphs>14</Paragraphs>
  <TotalTime>10</TotalTime>
  <ScaleCrop>false</ScaleCrop>
  <LinksUpToDate>false</LinksUpToDate>
  <CharactersWithSpaces>7131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2023-12-18T15:19:00Z</dcterms:created>
  <dc:creator>92032</dc:creator>
  <cp:lastModifiedBy>默</cp:lastModifiedBy>
  <cp:lastPrinted>2023-12-20T08:51:00Z</cp:lastPrinted>
  <dcterms:modified xsi:type="dcterms:W3CDTF">2025-02-28T08:03:53Z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8AE8E22B87C342C09814F80B830829F4_11</vt:lpwstr>
  </property>
  <property fmtid="{D5CDD505-2E9C-101B-9397-08002B2CF9AE}" pid="4" name="KSOTemplateDocerSaveRecord">
    <vt:lpwstr>eyJoZGlkIjoiNmJhYmUzMzI3YTE4MzU3ZDE2NDJhNTdlN2E3NWNhODgiLCJ1c2VySWQiOiI1ODU3OTYzMjEifQ==</vt:lpwstr>
  </property>
</Properties>
</file>