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pStyle w:val="2"/>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21868"/>
      <w:bookmarkStart w:id="4" w:name="_Toc15377193"/>
      <w:bookmarkStart w:id="5" w:name="_Toc15378441"/>
      <w:bookmarkStart w:id="6"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476"/>
      <w:bookmarkStart w:id="8" w:name="_Toc15377194"/>
      <w:bookmarkStart w:id="9" w:name="_Toc15306268"/>
      <w:bookmarkStart w:id="10" w:name="_Toc15378442"/>
      <w:bookmarkStart w:id="11" w:name="_Toc15396598"/>
      <w:bookmarkStart w:id="12" w:name="_Toc15377426"/>
      <w:bookmarkStart w:id="13" w:name="_Toc21"/>
      <w:r>
        <w:rPr>
          <w:rFonts w:hint="eastAsia" w:ascii="方正小标宋简体" w:hAnsi="方正小标宋简体" w:eastAsia="方正小标宋简体" w:cs="方正小标宋简体"/>
          <w:color w:val="auto"/>
          <w:sz w:val="72"/>
          <w:szCs w:val="72"/>
          <w:highlight w:val="none"/>
          <w:lang w:val="en-US" w:eastAsia="zh-CN"/>
        </w:rPr>
        <w:t>核工业成都机电学校</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spacing w:before="0" w:beforeLines="0" w:after="0" w:afterLines="0" w:line="240" w:lineRule="auto"/>
        <w:ind w:left="0" w:leftChars="0" w:right="0" w:rightChars="0" w:firstLine="0" w:firstLineChars="0"/>
        <w:jc w:val="center"/>
        <w:rPr>
          <w:rFonts w:ascii="宋体" w:hAnsi="宋体" w:eastAsia="宋体" w:cs="Times New Roman"/>
          <w:b/>
          <w:bCs/>
          <w:kern w:val="2"/>
          <w:sz w:val="32"/>
          <w:szCs w:val="40"/>
          <w:lang w:val="en-US" w:eastAsia="zh-CN" w:bidi="ar-SA"/>
        </w:rPr>
        <w:sectPr>
          <w:headerReference r:id="rId3" w:type="default"/>
          <w:footerReference r:id="rId4" w:type="default"/>
          <w:pgSz w:w="11906" w:h="16838"/>
          <w:pgMar w:top="1587" w:right="1474" w:bottom="1474" w:left="1587" w:header="851" w:footer="992" w:gutter="0"/>
          <w:pgNumType w:fmt="decimal" w:start="1"/>
          <w:cols w:space="425" w:num="1"/>
          <w:titlePg/>
          <w:docGrid w:type="lines" w:linePitch="312" w:charSpace="0"/>
        </w:sectPr>
      </w:pPr>
    </w:p>
    <w:sdt>
      <w:sdtPr>
        <w:rPr>
          <w:rFonts w:ascii="宋体" w:hAnsi="宋体" w:eastAsia="宋体" w:cs="Times New Roman"/>
          <w:b/>
          <w:bCs/>
          <w:kern w:val="2"/>
          <w:sz w:val="32"/>
          <w:szCs w:val="40"/>
          <w:lang w:val="en-US" w:eastAsia="zh-CN" w:bidi="ar-SA"/>
        </w:rPr>
        <w:id w:val="147468955"/>
        <w15:color w:val="DBDBDB"/>
        <w:docPartObj>
          <w:docPartGallery w:val="Table of Contents"/>
          <w:docPartUnique/>
        </w:docPartObj>
      </w:sdtPr>
      <w:sdtEndPr>
        <w:rPr>
          <w:rFonts w:ascii="黑体" w:hAnsi="黑体" w:eastAsia="黑体" w:cstheme="minorBidi"/>
          <w:b/>
          <w:bCs/>
          <w:color w:val="auto"/>
          <w:kern w:val="2"/>
          <w:sz w:val="22"/>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44"/>
              <w:szCs w:val="44"/>
            </w:rPr>
          </w:pPr>
          <w:r>
            <w:rPr>
              <w:rFonts w:ascii="宋体" w:hAnsi="宋体" w:eastAsia="宋体"/>
              <w:b/>
              <w:bCs/>
              <w:sz w:val="44"/>
              <w:szCs w:val="44"/>
            </w:rPr>
            <w:t>目录</w:t>
          </w:r>
        </w:p>
        <w:p>
          <w:pPr>
            <w:pStyle w:val="11"/>
            <w:keepNext w:val="0"/>
            <w:keepLines w:val="0"/>
            <w:pageBreakBefore w:val="0"/>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p>
        <w:p>
          <w:pPr>
            <w:pStyle w:val="31"/>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b/>
              <w:sz w:val="21"/>
              <w:szCs w:val="21"/>
            </w:rPr>
          </w:pPr>
          <w:r>
            <w:rPr>
              <w:rFonts w:ascii="黑体" w:hAnsi="黑体" w:eastAsia="黑体" w:cstheme="minorBidi"/>
              <w:color w:val="auto"/>
              <w:sz w:val="32"/>
              <w:szCs w:val="32"/>
              <w:highlight w:val="none"/>
            </w:rPr>
            <w:fldChar w:fldCharType="begin"/>
          </w:r>
          <w:r>
            <w:rPr>
              <w:rFonts w:ascii="黑体" w:hAnsi="黑体" w:eastAsia="黑体" w:cstheme="minorBidi"/>
              <w:color w:val="auto"/>
              <w:sz w:val="32"/>
              <w:szCs w:val="32"/>
              <w:highlight w:val="none"/>
            </w:rPr>
            <w:instrText xml:space="preserve">TOC \o "1-2" \h \u </w:instrText>
          </w:r>
          <w:r>
            <w:rPr>
              <w:rFonts w:ascii="黑体" w:hAnsi="黑体" w:eastAsia="黑体" w:cstheme="minorBidi"/>
              <w:color w:val="auto"/>
              <w:sz w:val="32"/>
              <w:szCs w:val="32"/>
              <w:highlight w:val="none"/>
            </w:rPr>
            <w:fldChar w:fldCharType="separate"/>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b/>
              <w:sz w:val="24"/>
              <w:szCs w:val="24"/>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_Toc25379 </w:instrText>
          </w:r>
          <w:r>
            <w:rPr>
              <w:rFonts w:ascii="黑体" w:hAnsi="黑体" w:eastAsia="黑体" w:cstheme="minorBidi"/>
              <w:b/>
              <w:sz w:val="24"/>
              <w:szCs w:val="40"/>
              <w:highlight w:val="none"/>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_Toc25379 \h </w:instrText>
          </w:r>
          <w:r>
            <w:rPr>
              <w:b/>
              <w:sz w:val="24"/>
              <w:szCs w:val="24"/>
            </w:rPr>
            <w:fldChar w:fldCharType="separate"/>
          </w:r>
          <w:r>
            <w:rPr>
              <w:b/>
              <w:sz w:val="24"/>
              <w:szCs w:val="24"/>
            </w:rPr>
            <w:t>3</w:t>
          </w:r>
          <w:r>
            <w:rPr>
              <w:b/>
              <w:sz w:val="24"/>
              <w:szCs w:val="24"/>
            </w:rPr>
            <w:fldChar w:fldCharType="end"/>
          </w:r>
          <w:r>
            <w:rPr>
              <w:rFonts w:ascii="黑体" w:hAnsi="黑体" w:eastAsia="黑体" w:cstheme="minorBidi"/>
              <w:b/>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_Toc21942 </w:instrText>
          </w:r>
          <w:r>
            <w:rPr>
              <w:rFonts w:hint="eastAsia" w:ascii="仿宋" w:hAnsi="仿宋" w:eastAsia="仿宋" w:cs="仿宋"/>
              <w:sz w:val="24"/>
              <w:szCs w:val="40"/>
              <w:highlight w:val="none"/>
            </w:rPr>
            <w:fldChar w:fldCharType="separate"/>
          </w:r>
          <w:r>
            <w:rPr>
              <w:rFonts w:hint="eastAsia" w:ascii="仿宋" w:hAnsi="仿宋" w:eastAsia="仿宋" w:cs="仿宋"/>
              <w:bCs w:val="0"/>
              <w:sz w:val="24"/>
              <w:szCs w:val="24"/>
              <w:lang w:eastAsia="zh-CN"/>
            </w:rPr>
            <w:t>一、</w:t>
          </w:r>
          <w:r>
            <w:rPr>
              <w:rFonts w:hint="eastAsia" w:ascii="仿宋" w:hAnsi="仿宋" w:eastAsia="仿宋" w:cs="仿宋"/>
              <w:bCs w:val="0"/>
              <w:sz w:val="24"/>
              <w:szCs w:val="24"/>
              <w:highlight w:val="none"/>
              <w:lang w:eastAsia="zh-CN"/>
            </w:rPr>
            <w:t>主要职责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_Toc21942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_Toc28965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highlight w:val="none"/>
              <w:lang w:val="en-US" w:eastAsia="zh-CN"/>
            </w:rPr>
            <w:t>二、机构设置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_Toc28965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b/>
              <w:sz w:val="24"/>
              <w:szCs w:val="24"/>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_Toc27925 </w:instrText>
          </w:r>
          <w:r>
            <w:rPr>
              <w:rFonts w:ascii="黑体" w:hAnsi="黑体" w:eastAsia="黑体" w:cstheme="minorBidi"/>
              <w:b/>
              <w:sz w:val="24"/>
              <w:szCs w:val="40"/>
              <w:highlight w:val="none"/>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2022年度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_Toc27925 \h </w:instrText>
          </w:r>
          <w:r>
            <w:rPr>
              <w:b/>
              <w:sz w:val="24"/>
              <w:szCs w:val="24"/>
            </w:rPr>
            <w:fldChar w:fldCharType="separate"/>
          </w:r>
          <w:r>
            <w:rPr>
              <w:b/>
              <w:sz w:val="24"/>
              <w:szCs w:val="24"/>
            </w:rPr>
            <w:t>4</w:t>
          </w:r>
          <w:r>
            <w:rPr>
              <w:b/>
              <w:sz w:val="24"/>
              <w:szCs w:val="24"/>
            </w:rPr>
            <w:fldChar w:fldCharType="end"/>
          </w:r>
          <w:r>
            <w:rPr>
              <w:rFonts w:ascii="黑体" w:hAnsi="黑体" w:eastAsia="黑体" w:cstheme="minorBidi"/>
              <w:b/>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_Toc22396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一、 </w:t>
          </w:r>
          <w:r>
            <w:rPr>
              <w:rFonts w:hint="eastAsia" w:ascii="仿宋" w:hAnsi="仿宋" w:eastAsia="仿宋" w:cs="仿宋"/>
              <w:sz w:val="24"/>
              <w:szCs w:val="44"/>
              <w:highlight w:val="none"/>
            </w:rPr>
            <w:t>收</w:t>
          </w:r>
          <w:r>
            <w:rPr>
              <w:rFonts w:hint="eastAsia" w:ascii="仿宋" w:hAnsi="仿宋" w:eastAsia="仿宋" w:cs="仿宋"/>
              <w:sz w:val="24"/>
              <w:szCs w:val="24"/>
              <w:highlight w:val="none"/>
            </w:rPr>
            <w:t>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_Toc22396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_Toc25297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二、 </w:t>
          </w:r>
          <w:r>
            <w:rPr>
              <w:rFonts w:hint="eastAsia" w:ascii="仿宋" w:hAnsi="仿宋" w:eastAsia="仿宋" w:cs="仿宋"/>
              <w:sz w:val="24"/>
              <w:szCs w:val="44"/>
              <w:highlight w:val="none"/>
            </w:rPr>
            <w:t>收</w:t>
          </w:r>
          <w:r>
            <w:rPr>
              <w:rFonts w:hint="eastAsia" w:ascii="仿宋" w:hAnsi="仿宋" w:eastAsia="仿宋" w:cs="仿宋"/>
              <w:sz w:val="24"/>
              <w:szCs w:val="24"/>
              <w:highlight w:val="none"/>
            </w:rPr>
            <w:t>入决算情况说明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_Toc25297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_Toc16727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三、 </w:t>
          </w:r>
          <w:r>
            <w:rPr>
              <w:rFonts w:hint="eastAsia" w:ascii="仿宋" w:hAnsi="仿宋" w:eastAsia="仿宋" w:cs="仿宋"/>
              <w:sz w:val="24"/>
              <w:szCs w:val="44"/>
              <w:highlight w:val="none"/>
            </w:rPr>
            <w:t>支</w:t>
          </w:r>
          <w:r>
            <w:rPr>
              <w:rFonts w:hint="eastAsia" w:ascii="仿宋" w:hAnsi="仿宋" w:eastAsia="仿宋" w:cs="仿宋"/>
              <w:sz w:val="24"/>
              <w:szCs w:val="24"/>
              <w:highlight w:val="none"/>
            </w:rPr>
            <w:t>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_Toc16727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_Toc1801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四、财</w:t>
          </w:r>
          <w:r>
            <w:rPr>
              <w:rFonts w:hint="eastAsia" w:ascii="仿宋" w:hAnsi="仿宋" w:eastAsia="仿宋" w:cs="仿宋"/>
              <w:sz w:val="24"/>
              <w:szCs w:val="24"/>
              <w:highlight w:val="none"/>
            </w:rPr>
            <w:t>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_Toc1801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_Toc1930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五、一</w:t>
          </w:r>
          <w:r>
            <w:rPr>
              <w:rFonts w:hint="eastAsia" w:ascii="仿宋" w:hAnsi="仿宋" w:eastAsia="仿宋" w:cs="仿宋"/>
              <w:sz w:val="24"/>
              <w:szCs w:val="24"/>
              <w:highlight w:val="none"/>
            </w:rPr>
            <w:t>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_Toc1930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_Toc26914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六、一</w:t>
          </w:r>
          <w:r>
            <w:rPr>
              <w:rFonts w:hint="eastAsia" w:ascii="仿宋" w:hAnsi="仿宋" w:eastAsia="仿宋" w:cs="仿宋"/>
              <w:sz w:val="24"/>
              <w:szCs w:val="24"/>
              <w:highlight w:val="none"/>
            </w:rPr>
            <w:t>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_Toc26914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_Toc19838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七、</w:t>
          </w:r>
          <w:r>
            <w:rPr>
              <w:rFonts w:hint="eastAsia" w:ascii="仿宋" w:hAnsi="仿宋" w:eastAsia="仿宋" w:cs="仿宋"/>
              <w:sz w:val="24"/>
              <w:szCs w:val="24"/>
              <w:highlight w:val="none"/>
            </w:rPr>
            <w:t>财政拨款“三公”经费支出决算情况说明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_Toc19838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_Toc3636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八、</w:t>
          </w:r>
          <w:r>
            <w:rPr>
              <w:rFonts w:hint="eastAsia" w:ascii="仿宋" w:hAnsi="仿宋" w:eastAsia="仿宋" w:cs="仿宋"/>
              <w:sz w:val="24"/>
              <w:szCs w:val="24"/>
              <w:highlight w:val="none"/>
            </w:rPr>
            <w:t>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_Toc3636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_Toc15008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九、 </w:t>
          </w:r>
          <w:r>
            <w:rPr>
              <w:rFonts w:hint="eastAsia" w:ascii="仿宋" w:hAnsi="仿宋" w:eastAsia="仿宋" w:cs="仿宋"/>
              <w:sz w:val="24"/>
              <w:szCs w:val="24"/>
              <w:highlight w:val="none"/>
            </w:rPr>
            <w:t>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_Toc15008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_Toc6050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十、 </w:t>
          </w:r>
          <w:r>
            <w:rPr>
              <w:rFonts w:hint="eastAsia" w:ascii="仿宋" w:hAnsi="仿宋" w:eastAsia="仿宋" w:cs="仿宋"/>
              <w:sz w:val="24"/>
              <w:szCs w:val="24"/>
              <w:highlight w:val="none"/>
            </w:rPr>
            <w:t>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_Toc6050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b/>
              <w:sz w:val="24"/>
              <w:szCs w:val="24"/>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_Toc9024 </w:instrText>
          </w:r>
          <w:r>
            <w:rPr>
              <w:rFonts w:ascii="黑体" w:hAnsi="黑体" w:eastAsia="黑体" w:cstheme="minorBidi"/>
              <w:b/>
              <w:sz w:val="24"/>
              <w:szCs w:val="40"/>
              <w:highlight w:val="none"/>
            </w:rPr>
            <w:fldChar w:fldCharType="separate"/>
          </w:r>
          <w:r>
            <w:rPr>
              <w:rFonts w:hint="eastAsia" w:ascii="黑体" w:hAnsi="黑体" w:eastAsia="黑体" w:cs="黑体"/>
              <w:b/>
              <w:sz w:val="24"/>
              <w:szCs w:val="56"/>
            </w:rPr>
            <w:t xml:space="preserve">第三部分 </w:t>
          </w:r>
          <w:r>
            <w:rPr>
              <w:rFonts w:hint="eastAsia" w:ascii="黑体" w:hAnsi="黑体" w:eastAsia="黑体"/>
              <w:b/>
              <w:sz w:val="24"/>
              <w:szCs w:val="56"/>
              <w:highlight w:val="none"/>
            </w:rPr>
            <w:t>名</w:t>
          </w:r>
          <w:r>
            <w:rPr>
              <w:rFonts w:hint="eastAsia" w:ascii="黑体" w:hAnsi="黑体" w:eastAsia="黑体"/>
              <w:b/>
              <w:sz w:val="24"/>
              <w:szCs w:val="24"/>
              <w:highlight w:val="none"/>
            </w:rPr>
            <w:t>词解释</w:t>
          </w:r>
          <w:r>
            <w:rPr>
              <w:b/>
              <w:sz w:val="24"/>
              <w:szCs w:val="24"/>
            </w:rPr>
            <w:tab/>
          </w:r>
          <w:r>
            <w:rPr>
              <w:b/>
              <w:sz w:val="24"/>
              <w:szCs w:val="24"/>
            </w:rPr>
            <w:fldChar w:fldCharType="begin"/>
          </w:r>
          <w:r>
            <w:rPr>
              <w:b/>
              <w:sz w:val="24"/>
              <w:szCs w:val="24"/>
            </w:rPr>
            <w:instrText xml:space="preserve"> PAGEREF _Toc9024 \h </w:instrText>
          </w:r>
          <w:r>
            <w:rPr>
              <w:b/>
              <w:sz w:val="24"/>
              <w:szCs w:val="24"/>
            </w:rPr>
            <w:fldChar w:fldCharType="separate"/>
          </w:r>
          <w:r>
            <w:rPr>
              <w:b/>
              <w:sz w:val="24"/>
              <w:szCs w:val="24"/>
            </w:rPr>
            <w:t>12</w:t>
          </w:r>
          <w:r>
            <w:rPr>
              <w:b/>
              <w:sz w:val="24"/>
              <w:szCs w:val="24"/>
            </w:rPr>
            <w:fldChar w:fldCharType="end"/>
          </w:r>
          <w:r>
            <w:rPr>
              <w:rFonts w:ascii="黑体" w:hAnsi="黑体" w:eastAsia="黑体" w:cstheme="minorBidi"/>
              <w:b/>
              <w:color w:val="auto"/>
              <w:sz w:val="24"/>
              <w:szCs w:val="4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b/>
              <w:sz w:val="24"/>
              <w:szCs w:val="24"/>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_Toc31781 </w:instrText>
          </w:r>
          <w:r>
            <w:rPr>
              <w:rFonts w:ascii="黑体" w:hAnsi="黑体" w:eastAsia="黑体" w:cstheme="minorBidi"/>
              <w:b/>
              <w:sz w:val="24"/>
              <w:szCs w:val="40"/>
              <w:highlight w:val="none"/>
            </w:rPr>
            <w:fldChar w:fldCharType="separate"/>
          </w:r>
          <w:r>
            <w:rPr>
              <w:rFonts w:hint="eastAsia" w:ascii="黑体" w:hAnsi="黑体" w:eastAsia="黑体"/>
              <w:b/>
              <w:sz w:val="24"/>
              <w:szCs w:val="56"/>
              <w:highlight w:val="none"/>
            </w:rPr>
            <w:t>第</w:t>
          </w:r>
          <w:r>
            <w:rPr>
              <w:rFonts w:hint="eastAsia" w:ascii="黑体" w:hAnsi="黑体" w:eastAsia="黑体"/>
              <w:b/>
              <w:sz w:val="24"/>
              <w:szCs w:val="24"/>
              <w:highlight w:val="none"/>
            </w:rPr>
            <w:t>四部分 附件</w:t>
          </w:r>
          <w:r>
            <w:rPr>
              <w:b/>
              <w:sz w:val="24"/>
              <w:szCs w:val="24"/>
            </w:rPr>
            <w:tab/>
          </w:r>
          <w:r>
            <w:rPr>
              <w:rFonts w:hint="eastAsia"/>
              <w:b/>
              <w:sz w:val="24"/>
              <w:szCs w:val="24"/>
              <w:lang w:val="en-US" w:eastAsia="zh-CN"/>
            </w:rPr>
            <w:t>14</w:t>
          </w:r>
          <w:r>
            <w:rPr>
              <w:rFonts w:ascii="黑体" w:hAnsi="黑体" w:eastAsia="黑体" w:cstheme="minorBidi"/>
              <w:b/>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仿宋"/>
              <w:sz w:val="24"/>
              <w:szCs w:val="24"/>
              <w:lang w:val="en-US" w:eastAsia="zh-CN"/>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_Toc4902 </w:instrText>
          </w:r>
          <w:r>
            <w:rPr>
              <w:rFonts w:hint="eastAsia" w:ascii="仿宋" w:hAnsi="仿宋" w:eastAsia="仿宋" w:cs="仿宋"/>
              <w:sz w:val="24"/>
              <w:szCs w:val="40"/>
              <w:highlight w:val="none"/>
            </w:rPr>
            <w:fldChar w:fldCharType="separate"/>
          </w:r>
          <w:r>
            <w:rPr>
              <w:rFonts w:hint="eastAsia" w:ascii="仿宋" w:hAnsi="仿宋" w:eastAsia="仿宋" w:cs="仿宋"/>
              <w:kern w:val="0"/>
              <w:sz w:val="24"/>
              <w:szCs w:val="44"/>
              <w:highlight w:val="none"/>
              <w:lang w:val="en-US" w:eastAsia="zh-CN" w:bidi="ar-SA"/>
            </w:rPr>
            <w:t>部门预算项目支出绩效自评表（2022年度）</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color w:val="auto"/>
              <w:sz w:val="24"/>
              <w:szCs w:val="40"/>
              <w:highlight w:val="none"/>
            </w:rPr>
            <w:fldChar w:fldCharType="end"/>
          </w:r>
          <w:r>
            <w:rPr>
              <w:rFonts w:hint="eastAsia" w:ascii="仿宋" w:hAnsi="仿宋" w:eastAsia="仿宋" w:cs="仿宋"/>
              <w:color w:val="auto"/>
              <w:sz w:val="24"/>
              <w:szCs w:val="40"/>
              <w:highlight w:val="none"/>
              <w:lang w:val="en-US" w:eastAsia="zh-CN"/>
            </w:rPr>
            <w:t>4</w:t>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rFonts w:hint="eastAsia" w:eastAsia="黑体"/>
              <w:b/>
              <w:sz w:val="24"/>
              <w:szCs w:val="24"/>
              <w:lang w:val="en-US" w:eastAsia="zh-CN"/>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_Toc27208 </w:instrText>
          </w:r>
          <w:r>
            <w:rPr>
              <w:rFonts w:ascii="黑体" w:hAnsi="黑体" w:eastAsia="黑体" w:cstheme="minorBidi"/>
              <w:b/>
              <w:sz w:val="24"/>
              <w:szCs w:val="40"/>
              <w:highlight w:val="none"/>
            </w:rPr>
            <w:fldChar w:fldCharType="separate"/>
          </w:r>
          <w:r>
            <w:rPr>
              <w:rFonts w:hint="eastAsia" w:ascii="黑体" w:hAnsi="黑体" w:eastAsia="黑体"/>
              <w:b/>
              <w:sz w:val="24"/>
              <w:szCs w:val="56"/>
              <w:highlight w:val="none"/>
            </w:rPr>
            <w:t>第</w:t>
          </w:r>
          <w:r>
            <w:rPr>
              <w:rFonts w:hint="eastAsia" w:ascii="黑体" w:hAnsi="黑体" w:eastAsia="黑体"/>
              <w:b/>
              <w:sz w:val="24"/>
              <w:szCs w:val="24"/>
              <w:highlight w:val="none"/>
            </w:rPr>
            <w:t>五部分 附表</w:t>
          </w:r>
          <w:r>
            <w:rPr>
              <w:b/>
              <w:sz w:val="24"/>
              <w:szCs w:val="24"/>
            </w:rPr>
            <w:tab/>
          </w:r>
          <w:r>
            <w:rPr>
              <w:rFonts w:hint="eastAsia"/>
              <w:b/>
              <w:sz w:val="24"/>
              <w:szCs w:val="24"/>
              <w:lang w:val="en-US" w:eastAsia="zh-CN"/>
            </w:rPr>
            <w:t>1</w:t>
          </w:r>
          <w:r>
            <w:rPr>
              <w:rFonts w:ascii="黑体" w:hAnsi="黑体" w:eastAsia="黑体" w:cstheme="minorBidi"/>
              <w:b/>
              <w:color w:val="auto"/>
              <w:sz w:val="24"/>
              <w:szCs w:val="40"/>
              <w:highlight w:val="none"/>
            </w:rPr>
            <w:fldChar w:fldCharType="end"/>
          </w:r>
          <w:r>
            <w:rPr>
              <w:rFonts w:hint="eastAsia" w:ascii="黑体" w:hAnsi="黑体" w:eastAsia="黑体" w:cstheme="minorBidi"/>
              <w:b/>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_Toc19684 </w:instrText>
          </w:r>
          <w:r>
            <w:rPr>
              <w:rFonts w:ascii="黑体" w:hAnsi="黑体" w:eastAsia="黑体" w:cstheme="minorBidi"/>
              <w:sz w:val="24"/>
              <w:szCs w:val="40"/>
              <w:highlight w:val="none"/>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_Toc30648 </w:instrText>
          </w:r>
          <w:r>
            <w:rPr>
              <w:rFonts w:ascii="黑体" w:hAnsi="黑体" w:eastAsia="黑体" w:cstheme="minorBidi"/>
              <w:sz w:val="24"/>
              <w:szCs w:val="40"/>
              <w:highlight w:val="none"/>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_Toc7990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18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_Toc4350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18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_Toc8785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_Toc7170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18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_Toc16609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18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_Toc2973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_Toc29133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_Toc21702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_Toc28977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_Toc31262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十二、</w:t>
          </w:r>
          <w:r>
            <w:rPr>
              <w:rFonts w:hint="eastAsia" w:ascii="仿宋" w:hAnsi="仿宋" w:eastAsia="仿宋"/>
              <w:bCs w:val="0"/>
              <w:sz w:val="24"/>
              <w:szCs w:val="24"/>
              <w:highlight w:val="none"/>
              <w:lang w:eastAsia="zh-CN"/>
            </w:rPr>
            <w:t>国有资本经营预算财政拨款支出决算表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1"/>
              <w:szCs w:val="21"/>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_Toc31291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十三、</w:t>
          </w:r>
          <w:r>
            <w:rPr>
              <w:rFonts w:hint="eastAsia" w:ascii="仿宋" w:hAnsi="仿宋" w:eastAsia="仿宋"/>
              <w:bCs w:val="0"/>
              <w:sz w:val="24"/>
              <w:szCs w:val="24"/>
              <w:highlight w:val="none"/>
              <w:lang w:eastAsia="zh-CN"/>
            </w:rPr>
            <w:t>财政拨款“三公”经费支出决算表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theme="minorBidi"/>
              <w:color w:val="auto"/>
              <w:sz w:val="32"/>
              <w:szCs w:val="32"/>
              <w:highlight w:val="none"/>
            </w:rPr>
          </w:pPr>
          <w:r>
            <w:rPr>
              <w:rFonts w:ascii="黑体" w:hAnsi="黑体" w:eastAsia="黑体" w:cstheme="minorBidi"/>
              <w:b/>
              <w:color w:val="auto"/>
              <w:sz w:val="22"/>
              <w:szCs w:val="32"/>
              <w:highlight w:val="none"/>
            </w:rPr>
            <w:fldChar w:fldCharType="end"/>
          </w:r>
        </w:p>
      </w:sdtContent>
    </w:sdt>
    <w:p>
      <w:pPr>
        <w:rPr>
          <w:color w:val="auto"/>
          <w:highlight w:val="none"/>
        </w:rPr>
      </w:pPr>
    </w:p>
    <w:p>
      <w:pPr>
        <w:pStyle w:val="3"/>
        <w:pageBreakBefore w:val="0"/>
        <w:kinsoku/>
        <w:wordWrap/>
        <w:overflowPunct/>
        <w:topLinePunct w:val="0"/>
        <w:autoSpaceDE/>
        <w:autoSpaceDN/>
        <w:bidi w:val="0"/>
        <w:adjustRightInd/>
        <w:spacing w:before="0" w:after="0" w:line="590" w:lineRule="exact"/>
        <w:jc w:val="center"/>
        <w:textAlignment w:val="auto"/>
        <w:rPr>
          <w:rFonts w:hint="eastAsia" w:ascii="黑体" w:hAnsi="黑体" w:eastAsia="黑体"/>
          <w:b w:val="0"/>
          <w:color w:val="auto"/>
          <w:highlight w:val="none"/>
        </w:rPr>
        <w:sectPr>
          <w:footerReference r:id="rId6" w:type="first"/>
          <w:footerReference r:id="rId5" w:type="default"/>
          <w:pgSz w:w="11906" w:h="16838"/>
          <w:pgMar w:top="1587" w:right="1474" w:bottom="1474" w:left="1587" w:header="851" w:footer="992" w:gutter="0"/>
          <w:pgNumType w:fmt="decimal" w:start="1"/>
          <w:cols w:space="425" w:num="1"/>
          <w:titlePg/>
          <w:docGrid w:type="lines" w:linePitch="312" w:charSpace="0"/>
        </w:sectPr>
      </w:pPr>
      <w:bookmarkStart w:id="14" w:name="_Toc25379"/>
      <w:bookmarkStart w:id="15" w:name="_Toc15396599"/>
      <w:bookmarkStart w:id="16" w:name="_Toc15377196"/>
    </w:p>
    <w:p>
      <w:pPr>
        <w:pStyle w:val="3"/>
        <w:pageBreakBefore w:val="0"/>
        <w:kinsoku/>
        <w:wordWrap/>
        <w:overflowPunct/>
        <w:topLinePunct w:val="0"/>
        <w:autoSpaceDE/>
        <w:autoSpaceDN/>
        <w:bidi w:val="0"/>
        <w:adjustRightInd/>
        <w:spacing w:before="0" w:after="0" w:line="590" w:lineRule="exact"/>
        <w:jc w:val="center"/>
        <w:textAlignment w:val="auto"/>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4"/>
      <w:bookmarkEnd w:id="15"/>
      <w:bookmarkEnd w:id="16"/>
    </w:p>
    <w:p>
      <w:pPr>
        <w:pStyle w:val="4"/>
        <w:pageBreakBefore w:val="0"/>
        <w:numPr>
          <w:ilvl w:val="0"/>
          <w:numId w:val="0"/>
        </w:numPr>
        <w:kinsoku/>
        <w:wordWrap/>
        <w:overflowPunct/>
        <w:topLinePunct w:val="0"/>
        <w:autoSpaceDE/>
        <w:autoSpaceDN/>
        <w:bidi w:val="0"/>
        <w:adjustRightInd/>
        <w:spacing w:before="0" w:after="0" w:line="590" w:lineRule="exact"/>
        <w:ind w:firstLine="640" w:firstLineChars="200"/>
        <w:jc w:val="both"/>
        <w:textAlignment w:val="auto"/>
        <w:rPr>
          <w:rStyle w:val="26"/>
          <w:rFonts w:hint="eastAsia" w:ascii="黑体" w:hAnsi="黑体" w:eastAsia="黑体"/>
          <w:b w:val="0"/>
          <w:bCs w:val="0"/>
          <w:color w:val="auto"/>
          <w:highlight w:val="none"/>
          <w:lang w:val="en-US" w:eastAsia="zh-CN"/>
        </w:rPr>
      </w:pPr>
      <w:bookmarkStart w:id="17" w:name="_Toc21942"/>
      <w:bookmarkStart w:id="18" w:name="_Toc15396600"/>
      <w:bookmarkStart w:id="19" w:name="_Toc15377197"/>
    </w:p>
    <w:p>
      <w:pPr>
        <w:pStyle w:val="4"/>
        <w:pageBreakBefore w:val="0"/>
        <w:numPr>
          <w:ilvl w:val="0"/>
          <w:numId w:val="0"/>
        </w:numPr>
        <w:kinsoku/>
        <w:wordWrap/>
        <w:overflowPunct/>
        <w:topLinePunct w:val="0"/>
        <w:autoSpaceDE/>
        <w:autoSpaceDN/>
        <w:bidi w:val="0"/>
        <w:adjustRightInd/>
        <w:spacing w:before="0" w:after="0" w:line="590" w:lineRule="exact"/>
        <w:ind w:firstLine="640" w:firstLineChars="200"/>
        <w:jc w:val="both"/>
        <w:textAlignment w:val="auto"/>
        <w:rPr>
          <w:rStyle w:val="26"/>
          <w:rFonts w:hint="eastAsia" w:ascii="黑体" w:hAnsi="黑体" w:eastAsia="黑体"/>
          <w:b w:val="0"/>
          <w:bCs w:val="0"/>
          <w:color w:val="auto"/>
          <w:highlight w:val="none"/>
          <w:lang w:eastAsia="zh-CN"/>
        </w:rPr>
      </w:pPr>
      <w:r>
        <w:rPr>
          <w:rStyle w:val="26"/>
          <w:rFonts w:hint="eastAsia" w:ascii="黑体" w:hAnsi="黑体" w:eastAsia="黑体"/>
          <w:b w:val="0"/>
          <w:bCs w:val="0"/>
          <w:color w:val="auto"/>
          <w:highlight w:val="none"/>
          <w:lang w:val="en-US" w:eastAsia="zh-CN"/>
        </w:rPr>
        <w:t>一、</w:t>
      </w:r>
      <w:r>
        <w:rPr>
          <w:rStyle w:val="26"/>
          <w:rFonts w:hint="eastAsia" w:ascii="黑体" w:hAnsi="黑体" w:eastAsia="黑体"/>
          <w:b w:val="0"/>
          <w:bCs w:val="0"/>
          <w:color w:val="auto"/>
          <w:highlight w:val="none"/>
          <w:lang w:eastAsia="zh-CN"/>
        </w:rPr>
        <w:t>主要职责</w:t>
      </w:r>
      <w:bookmarkEnd w:id="17"/>
    </w:p>
    <w:p>
      <w:pPr>
        <w:keepNext w:val="0"/>
        <w:keepLines w:val="0"/>
        <w:pageBreakBefore w:val="0"/>
        <w:widowControl w:val="0"/>
        <w:kinsoku/>
        <w:wordWrap/>
        <w:overflowPunct/>
        <w:topLinePunct w:val="0"/>
        <w:autoSpaceDE/>
        <w:autoSpaceDN/>
        <w:bidi w:val="0"/>
        <w:adjustRightInd/>
        <w:snapToGrid w:val="0"/>
        <w:spacing w:line="590" w:lineRule="exact"/>
        <w:ind w:left="0" w:firstLine="640" w:firstLineChars="200"/>
        <w:jc w:val="both"/>
        <w:textAlignment w:val="auto"/>
        <w:rPr>
          <w:rFonts w:hint="eastAsia"/>
          <w:lang w:eastAsia="zh-CN"/>
        </w:rPr>
      </w:pPr>
      <w:r>
        <w:rPr>
          <w:rFonts w:hint="default" w:ascii="Times New Roman" w:hAnsi="Times New Roman" w:eastAsia="仿宋" w:cs="Times New Roman"/>
          <w:sz w:val="32"/>
          <w:szCs w:val="32"/>
        </w:rPr>
        <w:t>核工业成都机电学校是四川省地质</w:t>
      </w:r>
      <w:r>
        <w:rPr>
          <w:rFonts w:hint="eastAsia" w:eastAsia="仿宋" w:cs="Times New Roman"/>
          <w:sz w:val="32"/>
          <w:szCs w:val="32"/>
          <w:lang w:val="en-US" w:eastAsia="zh-CN"/>
        </w:rPr>
        <w:t>矿产勘查开发</w:t>
      </w:r>
      <w:r>
        <w:rPr>
          <w:rFonts w:hint="default" w:ascii="Times New Roman" w:hAnsi="Times New Roman" w:eastAsia="仿宋" w:cs="Times New Roman"/>
          <w:sz w:val="32"/>
          <w:szCs w:val="32"/>
        </w:rPr>
        <w:t>局下属的一所中等职业教育学校，主要从事培养中等学历的专业技术人才。设有加工制造类、信息技术类、资源环境类、土木水利类、财经商贸类、旅游服务类、公共管理与服务类等7大类11个专业。</w:t>
      </w:r>
    </w:p>
    <w:p>
      <w:pPr>
        <w:pStyle w:val="4"/>
        <w:pageBreakBefore w:val="0"/>
        <w:numPr>
          <w:ilvl w:val="0"/>
          <w:numId w:val="0"/>
        </w:numPr>
        <w:kinsoku/>
        <w:wordWrap/>
        <w:overflowPunct/>
        <w:topLinePunct w:val="0"/>
        <w:autoSpaceDE/>
        <w:autoSpaceDN/>
        <w:bidi w:val="0"/>
        <w:adjustRightInd/>
        <w:spacing w:before="0" w:after="0" w:line="590" w:lineRule="exact"/>
        <w:ind w:firstLine="640" w:firstLineChars="200"/>
        <w:jc w:val="both"/>
        <w:textAlignment w:val="auto"/>
        <w:rPr>
          <w:rFonts w:hint="eastAsia" w:ascii="黑体" w:hAnsi="黑体" w:eastAsia="黑体"/>
          <w:b w:val="0"/>
          <w:color w:val="auto"/>
          <w:highlight w:val="none"/>
          <w:lang w:val="en-US" w:eastAsia="zh-CN"/>
        </w:rPr>
      </w:pPr>
      <w:bookmarkStart w:id="20" w:name="_Toc28965"/>
      <w:r>
        <w:rPr>
          <w:rFonts w:hint="eastAsia" w:ascii="黑体" w:hAnsi="黑体" w:eastAsia="黑体"/>
          <w:b w:val="0"/>
          <w:color w:val="auto"/>
          <w:highlight w:val="none"/>
          <w:lang w:val="en-US" w:eastAsia="zh-CN"/>
        </w:rPr>
        <w:t>二、机构设置</w:t>
      </w:r>
      <w:bookmarkEnd w:id="20"/>
    </w:p>
    <w:bookmarkEnd w:id="18"/>
    <w:bookmarkEnd w:id="19"/>
    <w:p>
      <w:pPr>
        <w:keepNext w:val="0"/>
        <w:keepLines w:val="0"/>
        <w:pageBreakBefore w:val="0"/>
        <w:kinsoku/>
        <w:wordWrap/>
        <w:overflowPunct/>
        <w:topLinePunct w:val="0"/>
        <w:autoSpaceDE/>
        <w:autoSpaceDN/>
        <w:bidi w:val="0"/>
        <w:adjustRightInd/>
        <w:snapToGrid w:val="0"/>
        <w:spacing w:line="590" w:lineRule="exact"/>
        <w:ind w:left="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核工业成都机电学校独立编制机构1个，</w:t>
      </w:r>
      <w:r>
        <w:rPr>
          <w:rFonts w:hint="eastAsia" w:eastAsia="仿宋" w:cs="Times New Roman"/>
          <w:sz w:val="32"/>
          <w:szCs w:val="32"/>
          <w:lang w:val="en-US" w:eastAsia="zh-CN"/>
        </w:rPr>
        <w:t>由11个内设部门组成，分别是：办公室、人事劳动科、财务与国有资产管理科、学生科、教务科、思想政治工作办公室、安全保卫科、总务科、招生办公室、就业指导办公室、纪检监察科。</w:t>
      </w:r>
    </w:p>
    <w:p>
      <w:pPr>
        <w:pageBreakBefore w:val="0"/>
        <w:widowControl/>
        <w:kinsoku/>
        <w:wordWrap/>
        <w:overflowPunct/>
        <w:topLinePunct w:val="0"/>
        <w:autoSpaceDE/>
        <w:autoSpaceDN/>
        <w:bidi w:val="0"/>
        <w:adjustRightInd/>
        <w:spacing w:line="590" w:lineRule="exact"/>
        <w:jc w:val="both"/>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widowControl w:val="0"/>
        <w:kinsoku/>
        <w:wordWrap/>
        <w:overflowPunct/>
        <w:topLinePunct w:val="0"/>
        <w:autoSpaceDE/>
        <w:autoSpaceDN/>
        <w:bidi w:val="0"/>
        <w:adjustRightInd/>
        <w:snapToGrid/>
        <w:spacing w:before="0" w:after="0" w:line="590" w:lineRule="exact"/>
        <w:ind w:left="0" w:right="0"/>
        <w:jc w:val="center"/>
        <w:textAlignment w:val="auto"/>
        <w:rPr>
          <w:color w:val="auto"/>
          <w:highlight w:val="none"/>
        </w:rPr>
      </w:pPr>
      <w:bookmarkStart w:id="21" w:name="_Toc27925"/>
      <w:bookmarkStart w:id="22" w:name="_Toc15396602"/>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21"/>
      <w:bookmarkEnd w:id="22"/>
      <w:bookmarkEnd w:id="23"/>
    </w:p>
    <w:p>
      <w:pPr>
        <w:pStyle w:val="24"/>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1"/>
        <w:rPr>
          <w:rFonts w:hint="eastAsia" w:ascii="黑体" w:hAnsi="黑体" w:eastAsia="黑体"/>
          <w:color w:val="auto"/>
          <w:sz w:val="32"/>
          <w:szCs w:val="32"/>
          <w:highlight w:val="none"/>
          <w:lang w:val="en-US" w:eastAsia="zh-CN"/>
        </w:rPr>
      </w:pPr>
      <w:bookmarkStart w:id="24" w:name="_Toc15377205"/>
      <w:bookmarkStart w:id="25" w:name="_Toc22396"/>
      <w:bookmarkStart w:id="26" w:name="_Toc15396603"/>
    </w:p>
    <w:p>
      <w:pPr>
        <w:pStyle w:val="24"/>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1"/>
        <w:rPr>
          <w:rStyle w:val="26"/>
          <w:rFonts w:ascii="黑体" w:hAnsi="黑体" w:eastAsia="黑体"/>
          <w:b w:val="0"/>
          <w:color w:val="auto"/>
          <w:highlight w:val="none"/>
        </w:rPr>
      </w:pPr>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仿宋_GB2312" w:eastAsia="仿宋_GB2312"/>
          <w:color w:val="auto"/>
          <w:sz w:val="24"/>
          <w:szCs w:val="24"/>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年度收</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支总计</w:t>
      </w:r>
      <w:r>
        <w:rPr>
          <w:rFonts w:hint="default" w:ascii="Times New Roman" w:hAnsi="Times New Roman" w:eastAsia="仿宋" w:cs="Times New Roman"/>
          <w:color w:val="auto"/>
          <w:sz w:val="32"/>
          <w:szCs w:val="32"/>
          <w:highlight w:val="none"/>
          <w:lang w:val="en-US" w:eastAsia="zh-CN"/>
        </w:rPr>
        <w:t>3,872.02</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年相比，收</w:t>
      </w:r>
      <w:r>
        <w:rPr>
          <w:rFonts w:hint="eastAsia" w:eastAsia="仿宋" w:cs="Times New Roman"/>
          <w:color w:val="auto"/>
          <w:sz w:val="32"/>
          <w:szCs w:val="32"/>
          <w:highlight w:val="none"/>
          <w:lang w:eastAsia="zh-CN"/>
        </w:rPr>
        <w:t>、</w:t>
      </w:r>
      <w:r>
        <w:rPr>
          <w:rFonts w:hint="eastAsia" w:eastAsia="仿宋" w:cs="Times New Roman"/>
          <w:color w:val="auto"/>
          <w:sz w:val="32"/>
          <w:szCs w:val="32"/>
          <w:highlight w:val="none"/>
          <w:lang w:val="en-US" w:eastAsia="zh-CN"/>
        </w:rPr>
        <w:t>支总计各</w:t>
      </w:r>
      <w:r>
        <w:rPr>
          <w:rFonts w:hint="default" w:ascii="Times New Roman" w:hAnsi="Times New Roman" w:eastAsia="仿宋" w:cs="Times New Roman"/>
          <w:color w:val="auto"/>
          <w:sz w:val="32"/>
          <w:szCs w:val="32"/>
          <w:highlight w:val="none"/>
        </w:rPr>
        <w:t>减少</w:t>
      </w:r>
      <w:r>
        <w:rPr>
          <w:rFonts w:hint="eastAsia" w:eastAsia="仿宋" w:cs="Times New Roman"/>
          <w:color w:val="auto"/>
          <w:sz w:val="32"/>
          <w:szCs w:val="32"/>
          <w:highlight w:val="none"/>
          <w:lang w:val="en-US" w:eastAsia="zh-CN"/>
        </w:rPr>
        <w:t>260.11</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下降</w:t>
      </w:r>
      <w:r>
        <w:rPr>
          <w:rFonts w:hint="default" w:ascii="Times New Roman" w:hAnsi="Times New Roman" w:eastAsia="仿宋" w:cs="Times New Roman"/>
          <w:color w:val="auto"/>
          <w:sz w:val="32"/>
          <w:szCs w:val="32"/>
          <w:highlight w:val="none"/>
          <w:lang w:val="en-US" w:eastAsia="zh-CN"/>
        </w:rPr>
        <w:t>6.</w:t>
      </w:r>
      <w:r>
        <w:rPr>
          <w:rFonts w:hint="eastAsia" w:eastAsia="仿宋" w:cs="Times New Roman"/>
          <w:color w:val="auto"/>
          <w:sz w:val="32"/>
          <w:szCs w:val="32"/>
          <w:highlight w:val="none"/>
          <w:lang w:val="en-US" w:eastAsia="zh-CN"/>
        </w:rPr>
        <w:t>92</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lang w:val="en-US" w:eastAsia="zh-CN"/>
        </w:rPr>
        <w:t>受疫情影响事业收入减少</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其他收入校企合作减少</w:t>
      </w:r>
      <w:r>
        <w:rPr>
          <w:rFonts w:hint="default" w:ascii="Times New Roman" w:hAnsi="Times New Roman" w:eastAsia="仿宋"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olor w:val="auto"/>
          <w:sz w:val="24"/>
          <w:szCs w:val="24"/>
          <w:highlight w:val="none"/>
          <w:lang w:eastAsia="zh-CN"/>
        </w:rPr>
      </w:pPr>
      <w:r>
        <w:rPr>
          <w:rFonts w:hint="eastAsia" w:ascii="仿宋" w:hAnsi="仿宋" w:eastAsia="仿宋"/>
          <w:b w:val="0"/>
          <w:bCs w:val="0"/>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4046855</wp:posOffset>
                </wp:positionH>
                <wp:positionV relativeFrom="paragraph">
                  <wp:posOffset>596900</wp:posOffset>
                </wp:positionV>
                <wp:extent cx="1120140" cy="281940"/>
                <wp:effectExtent l="0" t="0" r="7620" b="7620"/>
                <wp:wrapNone/>
                <wp:docPr id="2" name="文本框 2"/>
                <wp:cNvGraphicFramePr/>
                <a:graphic xmlns:a="http://schemas.openxmlformats.org/drawingml/2006/main">
                  <a:graphicData uri="http://schemas.microsoft.com/office/word/2010/wordprocessingShape">
                    <wps:wsp>
                      <wps:cNvSpPr txBox="1"/>
                      <wps:spPr>
                        <a:xfrm>
                          <a:off x="5357495" y="4742815"/>
                          <a:ext cx="1120140"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65pt;margin-top:47pt;height:22.2pt;width:88.2pt;z-index:251661312;mso-width-relative:page;mso-height-relative:page;" fillcolor="#FFFFFF [3201]" filled="t" stroked="f" coordsize="21600,21600" o:gfxdata="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j7+w3VAAAA&#10;CgEAAA8AAAAAAAAAAQAgAAAAIgAAAGRycy9kb3ducmV2LnhtbFBLAQIUABQAAAAIAIdO4kDdzW9v&#10;WQIAAJsEAAAOAAAAAAAAAAEAIAAAACQBAABkcnMvZTJvRG9jLnhtbFBLBQYAAAAABgAGAFkBAADv&#10;BQAAAAA=&#10;">
                <v:fill on="t" focussize="0,0"/>
                <v:stroke on="f" weight="0.5pt"/>
                <v:imagedata o:title=""/>
                <o:lock v:ext="edit" aspectratio="f"/>
                <v:textbox>
                  <w:txbxContent>
                    <w:p>
                      <w:pPr>
                        <w:ind w:firstLine="420" w:firstLineChars="200"/>
                        <w:rPr>
                          <w:rFonts w:hint="default" w:eastAsia="宋体"/>
                          <w:lang w:val="en-US" w:eastAsia="zh-CN"/>
                        </w:rPr>
                      </w:pPr>
                      <w:r>
                        <w:rPr>
                          <w:rFonts w:hint="eastAsia"/>
                          <w:lang w:val="en-US" w:eastAsia="zh-CN"/>
                        </w:rPr>
                        <w:t>单位：万元</w:t>
                      </w:r>
                    </w:p>
                  </w:txbxContent>
                </v:textbox>
              </v:shape>
            </w:pict>
          </mc:Fallback>
        </mc:AlternateContent>
      </w:r>
      <w:r>
        <w:rPr>
          <w:rFonts w:hint="eastAsia" w:ascii="仿宋" w:hAnsi="仿宋" w:eastAsia="仿宋"/>
          <w:b w:val="0"/>
          <w:bCs w:val="0"/>
          <w:color w:val="auto"/>
          <w:sz w:val="24"/>
          <w:szCs w:val="24"/>
          <w:highlight w:val="none"/>
          <w:lang w:eastAsia="zh-CN"/>
        </w:rPr>
        <w:drawing>
          <wp:anchor distT="0" distB="0" distL="114300" distR="114300" simplePos="0" relativeHeight="251660288" behindDoc="0" locked="0" layoutInCell="1" allowOverlap="1">
            <wp:simplePos x="0" y="0"/>
            <wp:positionH relativeFrom="column">
              <wp:posOffset>255270</wp:posOffset>
            </wp:positionH>
            <wp:positionV relativeFrom="paragraph">
              <wp:posOffset>360045</wp:posOffset>
            </wp:positionV>
            <wp:extent cx="5005070" cy="2826385"/>
            <wp:effectExtent l="4445" t="4445" r="19685" b="1905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val="0"/>
          <w:bCs w:val="0"/>
          <w:color w:val="auto"/>
          <w:sz w:val="24"/>
          <w:szCs w:val="24"/>
          <w:highlight w:val="none"/>
          <w:lang w:val="en-US" w:eastAsia="zh-CN"/>
        </w:rPr>
        <w:t>（图1：</w:t>
      </w:r>
      <w:r>
        <w:rPr>
          <w:rFonts w:hint="eastAsia" w:ascii="仿宋" w:hAnsi="仿宋" w:eastAsia="仿宋"/>
          <w:b w:val="0"/>
          <w:bCs w:val="0"/>
          <w:color w:val="auto"/>
          <w:sz w:val="24"/>
          <w:szCs w:val="24"/>
          <w:highlight w:val="none"/>
        </w:rPr>
        <w:t>收</w:t>
      </w:r>
      <w:r>
        <w:rPr>
          <w:rFonts w:hint="eastAsia" w:ascii="仿宋" w:hAnsi="仿宋" w:eastAsia="仿宋"/>
          <w:color w:val="auto"/>
          <w:sz w:val="24"/>
          <w:szCs w:val="24"/>
          <w:highlight w:val="none"/>
        </w:rPr>
        <w:t>、</w:t>
      </w:r>
      <w:r>
        <w:rPr>
          <w:rFonts w:hint="eastAsia" w:ascii="仿宋" w:hAnsi="仿宋" w:eastAsia="仿宋"/>
          <w:b w:val="0"/>
          <w:bCs w:val="0"/>
          <w:color w:val="auto"/>
          <w:sz w:val="24"/>
          <w:szCs w:val="24"/>
          <w:highlight w:val="none"/>
        </w:rPr>
        <w:t>支决算</w:t>
      </w:r>
      <w:r>
        <w:rPr>
          <w:rFonts w:hint="eastAsia" w:ascii="仿宋" w:hAnsi="仿宋" w:eastAsia="仿宋"/>
          <w:color w:val="auto"/>
          <w:sz w:val="24"/>
          <w:szCs w:val="24"/>
          <w:highlight w:val="none"/>
        </w:rPr>
        <w:t>总计变动情况图</w:t>
      </w:r>
      <w:r>
        <w:rPr>
          <w:rFonts w:hint="eastAsia" w:ascii="仿宋" w:hAnsi="仿宋" w:eastAsia="仿宋"/>
          <w:color w:val="auto"/>
          <w:sz w:val="24"/>
          <w:szCs w:val="24"/>
          <w:highlight w:val="none"/>
          <w:lang w:eastAsia="zh-CN"/>
        </w:rPr>
        <w:t>）</w:t>
      </w:r>
    </w:p>
    <w:p>
      <w:pPr>
        <w:pStyle w:val="2"/>
        <w:rPr>
          <w:rFonts w:hint="eastAsia"/>
          <w:lang w:val="en-US" w:eastAsia="zh-CN"/>
        </w:rPr>
      </w:pPr>
    </w:p>
    <w:p>
      <w:pPr>
        <w:pStyle w:val="24"/>
        <w:numPr>
          <w:ilvl w:val="0"/>
          <w:numId w:val="0"/>
        </w:numPr>
        <w:spacing w:line="600" w:lineRule="exact"/>
        <w:ind w:left="640" w:leftChars="0"/>
        <w:outlineLvl w:val="1"/>
        <w:rPr>
          <w:rStyle w:val="26"/>
          <w:rFonts w:ascii="黑体" w:hAnsi="黑体" w:eastAsia="黑体"/>
          <w:b w:val="0"/>
          <w:color w:val="auto"/>
          <w:highlight w:val="none"/>
        </w:rPr>
      </w:pPr>
      <w:bookmarkStart w:id="27" w:name="_Toc15377206"/>
      <w:bookmarkStart w:id="28" w:name="_Toc25297"/>
      <w:bookmarkStart w:id="29" w:name="_Toc15396604"/>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hint="default" w:ascii="Times New Roman" w:hAnsi="Times New Roman" w:eastAsia="仿宋" w:cs="Times New Roman"/>
          <w:color w:val="auto"/>
          <w:sz w:val="32"/>
          <w:szCs w:val="32"/>
          <w:highlight w:val="none"/>
        </w:rPr>
      </w:pPr>
      <w:bookmarkStart w:id="30" w:name="_Toc29095"/>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年本年收入合计</w:t>
      </w:r>
      <w:r>
        <w:rPr>
          <w:rFonts w:hint="default" w:ascii="Times New Roman" w:hAnsi="Times New Roman" w:eastAsia="仿宋" w:cs="Times New Roman"/>
          <w:color w:val="auto"/>
          <w:sz w:val="32"/>
          <w:szCs w:val="32"/>
          <w:highlight w:val="none"/>
          <w:lang w:val="en-US" w:eastAsia="zh-CN"/>
        </w:rPr>
        <w:t>3,8</w:t>
      </w:r>
      <w:r>
        <w:rPr>
          <w:rFonts w:hint="eastAsia" w:eastAsia="仿宋" w:cs="Times New Roman"/>
          <w:color w:val="auto"/>
          <w:sz w:val="32"/>
          <w:szCs w:val="32"/>
          <w:highlight w:val="none"/>
          <w:lang w:val="en-US" w:eastAsia="zh-CN"/>
        </w:rPr>
        <w:t>68</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3,338.97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86.</w:t>
      </w:r>
      <w:r>
        <w:rPr>
          <w:rFonts w:hint="eastAsia" w:eastAsia="仿宋" w:cs="Times New Roman"/>
          <w:color w:val="auto"/>
          <w:sz w:val="32"/>
          <w:szCs w:val="32"/>
          <w:highlight w:val="none"/>
          <w:lang w:val="en-US" w:eastAsia="zh-CN"/>
        </w:rPr>
        <w:t>31</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524.96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13.5</w:t>
      </w:r>
      <w:r>
        <w:rPr>
          <w:rFonts w:hint="eastAsia"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5.03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0.13</w:t>
      </w:r>
      <w:r>
        <w:rPr>
          <w:rFonts w:hint="default" w:ascii="Times New Roman" w:hAnsi="Times New Roman" w:eastAsia="仿宋" w:cs="Times New Roman"/>
          <w:color w:val="auto"/>
          <w:sz w:val="32"/>
          <w:szCs w:val="32"/>
          <w:highlight w:val="none"/>
        </w:rPr>
        <w:t>%。</w:t>
      </w:r>
      <w:bookmarkEnd w:id="30"/>
    </w:p>
    <w:p>
      <w:pPr>
        <w:pStyle w:val="2"/>
        <w:jc w:val="center"/>
        <w:rPr>
          <w:rFonts w:ascii="仿宋" w:hAnsi="仿宋" w:eastAsia="仿宋"/>
          <w:color w:val="auto"/>
          <w:sz w:val="32"/>
          <w:szCs w:val="32"/>
          <w:highlight w:val="none"/>
        </w:rPr>
      </w:pPr>
      <w:r>
        <w:rPr>
          <w:sz w:val="30"/>
        </w:rPr>
        <mc:AlternateContent>
          <mc:Choice Requires="wps">
            <w:drawing>
              <wp:anchor distT="0" distB="0" distL="114300" distR="114300" simplePos="0" relativeHeight="251662336" behindDoc="0" locked="0" layoutInCell="1" allowOverlap="1">
                <wp:simplePos x="0" y="0"/>
                <wp:positionH relativeFrom="column">
                  <wp:posOffset>3780155</wp:posOffset>
                </wp:positionH>
                <wp:positionV relativeFrom="paragraph">
                  <wp:posOffset>269240</wp:posOffset>
                </wp:positionV>
                <wp:extent cx="1173480" cy="323850"/>
                <wp:effectExtent l="4445" t="4445" r="10795" b="6985"/>
                <wp:wrapNone/>
                <wp:docPr id="3" name="文本框 3"/>
                <wp:cNvGraphicFramePr/>
                <a:graphic xmlns:a="http://schemas.openxmlformats.org/drawingml/2006/main">
                  <a:graphicData uri="http://schemas.microsoft.com/office/word/2010/wordprocessingShape">
                    <wps:wsp>
                      <wps:cNvSpPr txBox="1"/>
                      <wps:spPr>
                        <a:xfrm>
                          <a:off x="4946015" y="1259840"/>
                          <a:ext cx="1173480" cy="323850"/>
                        </a:xfrm>
                        <a:prstGeom prst="rect">
                          <a:avLst/>
                        </a:prstGeom>
                        <a:solidFill>
                          <a:schemeClr val="lt1"/>
                        </a:solidFill>
                        <a:ln w="6350">
                          <a:solidFill>
                            <a:schemeClr val="bg1">
                              <a:lumMod val="95000"/>
                            </a:schemeClr>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65pt;margin-top:21.2pt;height:25.5pt;width:92.4pt;z-index:251662336;mso-width-relative:page;mso-height-relative:page;" fillcolor="#FFFFFF [3201]" filled="t" stroked="t" coordsize="21600,21600" o:gfxdata="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mKs1sNoAAAAJAQAADwAAAAAAAAABACAAAAAiAAAAZHJzL2Rv&#10;d25yZXYueG1sUEsBAhQAFAAAAAgAh07iQIDJU8RxAgAA5gQAAA4AAAAAAAAAAQAgAAAAKQEAAGRy&#10;cy9lMm9Eb2MueG1sUEsFBgAAAAAGAAYAWQEAAAwGAAAAAA==&#10;">
                <v:fill on="t" focussize="0,0"/>
                <v:stroke weight="0.5pt" color="#F2F2F2 [3052]" joinstyle="round"/>
                <v:imagedata o:title=""/>
                <o:lock v:ext="edit" aspectratio="f"/>
                <v:textbox>
                  <w:txbxContent>
                    <w:p/>
                  </w:txbxContent>
                </v:textbox>
              </v:shape>
            </w:pict>
          </mc:Fallback>
        </mc:AlternateContent>
      </w:r>
      <w:r>
        <w:rPr>
          <w:rFonts w:hint="eastAsia" w:eastAsia="仿宋"/>
          <w:lang w:eastAsia="zh-CN"/>
        </w:rPr>
        <w:drawing>
          <wp:inline distT="0" distB="0" distL="114300" distR="114300">
            <wp:extent cx="5102860" cy="2271395"/>
            <wp:effectExtent l="4445" t="4445" r="13335"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（图2：收入决算结构图）</w:t>
      </w:r>
    </w:p>
    <w:p>
      <w:pPr>
        <w:pStyle w:val="2"/>
      </w:pPr>
    </w:p>
    <w:p>
      <w:pPr>
        <w:pStyle w:val="24"/>
        <w:numPr>
          <w:ilvl w:val="0"/>
          <w:numId w:val="0"/>
        </w:numPr>
        <w:spacing w:line="600" w:lineRule="exact"/>
        <w:ind w:left="640" w:leftChars="0"/>
        <w:outlineLvl w:val="1"/>
        <w:rPr>
          <w:rStyle w:val="26"/>
          <w:rFonts w:ascii="黑体" w:hAnsi="黑体" w:eastAsia="黑体"/>
          <w:b w:val="0"/>
          <w:color w:val="auto"/>
          <w:highlight w:val="none"/>
        </w:rPr>
      </w:pPr>
      <w:bookmarkStart w:id="31" w:name="_Toc15377207"/>
      <w:bookmarkStart w:id="32" w:name="_Toc16727"/>
      <w:bookmarkStart w:id="33" w:name="_Toc15396605"/>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default" w:ascii="Times New Roman" w:hAnsi="Times New Roman" w:eastAsia="仿宋" w:cs="Times New Roman"/>
          <w:color w:val="auto"/>
          <w:sz w:val="32"/>
          <w:szCs w:val="32"/>
          <w:highlight w:val="none"/>
        </w:rPr>
      </w:pPr>
      <w:bookmarkStart w:id="34" w:name="_Toc29082"/>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3,872.02</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2,999.33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77.46</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872.69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22.54</w:t>
      </w:r>
      <w:r>
        <w:rPr>
          <w:rFonts w:hint="default" w:ascii="Times New Roman" w:hAnsi="Times New Roman" w:eastAsia="仿宋" w:cs="Times New Roman"/>
          <w:color w:val="auto"/>
          <w:sz w:val="32"/>
          <w:szCs w:val="32"/>
          <w:highlight w:val="none"/>
        </w:rPr>
        <w:t>%。</w:t>
      </w:r>
      <w:bookmarkEnd w:id="34"/>
    </w:p>
    <w:p>
      <w:pPr>
        <w:jc w:val="center"/>
      </w:pPr>
      <w:r>
        <w:rPr>
          <w:rFonts w:hint="eastAsia" w:ascii="仿宋" w:hAnsi="仿宋" w:eastAsia="仿宋"/>
          <w:color w:val="auto"/>
          <w:sz w:val="32"/>
          <w:szCs w:val="32"/>
          <w:highlight w:val="none"/>
          <w:shd w:val="pct10" w:color="auto" w:fill="FFFFFF"/>
          <w:lang w:eastAsia="zh-CN"/>
        </w:rPr>
        <w:drawing>
          <wp:inline distT="0" distB="0" distL="114300" distR="114300">
            <wp:extent cx="5027295" cy="2400300"/>
            <wp:effectExtent l="4445" t="4445" r="12700" b="184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（图3：支出决算结构图）</w:t>
      </w:r>
    </w:p>
    <w:p>
      <w:pPr>
        <w:pStyle w:val="2"/>
        <w:rPr>
          <w:rFonts w:hint="default"/>
        </w:rPr>
      </w:pPr>
    </w:p>
    <w:p>
      <w:pPr>
        <w:spacing w:line="600" w:lineRule="exact"/>
        <w:ind w:firstLine="640" w:firstLineChars="200"/>
        <w:outlineLvl w:val="1"/>
        <w:rPr>
          <w:rStyle w:val="26"/>
          <w:rFonts w:ascii="黑体" w:hAnsi="黑体" w:eastAsia="黑体"/>
          <w:b w:val="0"/>
          <w:color w:val="auto"/>
          <w:highlight w:val="none"/>
        </w:rPr>
      </w:pPr>
      <w:bookmarkStart w:id="35" w:name="_Toc1801"/>
      <w:bookmarkStart w:id="36" w:name="_Toc15377208"/>
      <w:bookmarkStart w:id="37"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eastAsia"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年财政拨款收、支总计</w:t>
      </w:r>
      <w:r>
        <w:rPr>
          <w:rFonts w:hint="default" w:ascii="Times New Roman" w:hAnsi="Times New Roman" w:eastAsia="仿宋" w:cs="Times New Roman"/>
          <w:color w:val="auto"/>
          <w:sz w:val="32"/>
          <w:szCs w:val="32"/>
          <w:highlight w:val="none"/>
          <w:lang w:val="en-US" w:eastAsia="zh-CN"/>
        </w:rPr>
        <w:t>3,338.97</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年相比，财政拨款收、支总计减少</w:t>
      </w:r>
      <w:r>
        <w:rPr>
          <w:rFonts w:hint="default" w:ascii="Times New Roman" w:hAnsi="Times New Roman" w:eastAsia="仿宋" w:cs="Times New Roman"/>
          <w:color w:val="auto"/>
          <w:sz w:val="32"/>
          <w:szCs w:val="32"/>
          <w:highlight w:val="none"/>
          <w:lang w:val="en-US" w:eastAsia="zh-CN"/>
        </w:rPr>
        <w:t>114.61</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3.32</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000000" w:themeColor="text1"/>
          <w:sz w:val="32"/>
          <w:szCs w:val="32"/>
          <w:lang w:val="en-US" w:eastAsia="zh-CN"/>
          <w14:textFill>
            <w14:solidFill>
              <w14:schemeClr w14:val="tx1"/>
            </w14:solidFill>
          </w14:textFill>
        </w:rPr>
        <w:t>2022年无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中职学校改善办学条件</w:t>
      </w:r>
      <w:r>
        <w:rPr>
          <w:rFonts w:hint="eastAsia" w:eastAsia="仿宋" w:cs="Times New Roman"/>
          <w:color w:val="000000" w:themeColor="text1"/>
          <w:sz w:val="32"/>
          <w:szCs w:val="32"/>
          <w:lang w:val="en-US" w:eastAsia="zh-CN"/>
          <w14:textFill>
            <w14:solidFill>
              <w14:schemeClr w14:val="tx1"/>
            </w14:solidFill>
          </w14:textFill>
        </w:rPr>
        <w:t>财政拨款项目。</w:t>
      </w:r>
    </w:p>
    <w:p>
      <w:pPr>
        <w:pStyle w:val="2"/>
      </w:pPr>
      <w:r>
        <w:rPr>
          <w:sz w:val="32"/>
        </w:rPr>
        <mc:AlternateContent>
          <mc:Choice Requires="wps">
            <w:drawing>
              <wp:anchor distT="0" distB="0" distL="114300" distR="114300" simplePos="0" relativeHeight="251663360" behindDoc="0" locked="0" layoutInCell="1" allowOverlap="1">
                <wp:simplePos x="0" y="0"/>
                <wp:positionH relativeFrom="column">
                  <wp:posOffset>3970655</wp:posOffset>
                </wp:positionH>
                <wp:positionV relativeFrom="paragraph">
                  <wp:posOffset>233045</wp:posOffset>
                </wp:positionV>
                <wp:extent cx="876300" cy="255270"/>
                <wp:effectExtent l="0" t="0" r="7620" b="3810"/>
                <wp:wrapNone/>
                <wp:docPr id="8" name="文本框 8"/>
                <wp:cNvGraphicFramePr/>
                <a:graphic xmlns:a="http://schemas.openxmlformats.org/drawingml/2006/main">
                  <a:graphicData uri="http://schemas.microsoft.com/office/word/2010/wordprocessingShape">
                    <wps:wsp>
                      <wps:cNvSpPr txBox="1"/>
                      <wps:spPr>
                        <a:xfrm>
                          <a:off x="5113655" y="1528445"/>
                          <a:ext cx="876300" cy="255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65pt;margin-top:18.35pt;height:20.1pt;width:69pt;z-index:251663360;mso-width-relative:page;mso-height-relative:page;" fillcolor="#FFFFFF [3201]" filled="t" stroked="f" coordsize="21600,21600" o:gfxdata="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RFHnPU&#10;AAAACQEAAA8AAAAAAAAAAQAgAAAAIgAAAGRycy9kb3ducmV2LnhtbFBLAQIUABQAAAAIAIdO4kBm&#10;wr9wXQIAAJoEAAAOAAAAAAAAAAEAIAAAACMBAABkcnMvZTJvRG9jLnhtbFBLBQYAAAAABgAGAFkB&#10;AADyBQAAAAA=&#10;">
                <v:fill on="t" focussize="0,0"/>
                <v:stroke on="f" weight="0.5pt"/>
                <v:imagedata o:title=""/>
                <o:lock v:ext="edit" aspectratio="f"/>
                <v:textbox>
                  <w:txbxContent>
                    <w:p>
                      <w:pPr>
                        <w:rPr>
                          <w:rFonts w:hint="default" w:eastAsia="宋体"/>
                          <w:lang w:val="en-US" w:eastAsia="zh-CN"/>
                        </w:rPr>
                      </w:pPr>
                      <w:r>
                        <w:rPr>
                          <w:rFonts w:hint="eastAsia"/>
                          <w:lang w:val="en-US" w:eastAsia="zh-CN"/>
                        </w:rPr>
                        <w:t>单位：万元</w:t>
                      </w:r>
                    </w:p>
                  </w:txbxContent>
                </v:textbox>
              </v:shape>
            </w:pict>
          </mc:Fallback>
        </mc:AlternateContent>
      </w:r>
      <w:r>
        <w:rPr>
          <w:rFonts w:hint="eastAsia" w:ascii="仿宋" w:hAnsi="仿宋" w:eastAsia="仿宋"/>
          <w:color w:val="auto"/>
          <w:sz w:val="32"/>
          <w:szCs w:val="32"/>
          <w:highlight w:val="none"/>
          <w:lang w:eastAsia="zh-CN"/>
        </w:rPr>
        <w:drawing>
          <wp:inline distT="0" distB="0" distL="114300" distR="114300">
            <wp:extent cx="4875530" cy="2355850"/>
            <wp:effectExtent l="4445" t="4445" r="12065"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（图4：财政拨款收、支决算总计变动情况）</w:t>
      </w:r>
    </w:p>
    <w:p>
      <w:pPr>
        <w:pStyle w:val="2"/>
      </w:pPr>
    </w:p>
    <w:p>
      <w:pPr>
        <w:spacing w:line="600" w:lineRule="exact"/>
        <w:ind w:firstLine="640" w:firstLineChars="200"/>
        <w:outlineLvl w:val="1"/>
        <w:rPr>
          <w:rStyle w:val="26"/>
          <w:rFonts w:ascii="黑体" w:hAnsi="黑体" w:eastAsia="黑体"/>
          <w:b w:val="0"/>
          <w:color w:val="auto"/>
          <w:highlight w:val="none"/>
        </w:rPr>
      </w:pPr>
      <w:bookmarkStart w:id="38" w:name="_Toc15396607"/>
      <w:bookmarkStart w:id="39" w:name="_Toc15377209"/>
      <w:bookmarkStart w:id="40" w:name="_Toc193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41" w:name="_Toc15377210"/>
      <w:r>
        <w:rPr>
          <w:rFonts w:hint="eastAsia" w:ascii="楷体" w:hAnsi="楷体" w:eastAsia="楷体" w:cs="楷体"/>
          <w:b w:val="0"/>
          <w:bCs/>
          <w:color w:val="auto"/>
          <w:sz w:val="32"/>
          <w:szCs w:val="32"/>
          <w:highlight w:val="none"/>
        </w:rPr>
        <w:t>（一）一般公共预算财政拨款支出决算总体情况</w:t>
      </w:r>
      <w:bookmarkEnd w:id="41"/>
    </w:p>
    <w:p>
      <w:pPr>
        <w:spacing w:line="600" w:lineRule="exact"/>
        <w:ind w:firstLine="640"/>
        <w:rPr>
          <w:rFonts w:hint="default" w:ascii="仿宋" w:hAnsi="仿宋" w:eastAsia="仿宋"/>
          <w:color w:val="auto"/>
          <w:sz w:val="32"/>
          <w:szCs w:val="32"/>
          <w:highlight w:val="none"/>
          <w:lang w:val="en-US"/>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3,338.97</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86.23</w:t>
      </w:r>
      <w:r>
        <w:rPr>
          <w:rFonts w:hint="default" w:ascii="Times New Roman" w:hAnsi="Times New Roman" w:eastAsia="仿宋" w:cs="Times New Roman"/>
          <w:color w:val="auto"/>
          <w:sz w:val="32"/>
          <w:szCs w:val="32"/>
          <w:highlight w:val="none"/>
        </w:rPr>
        <w:t>%。与20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减少</w:t>
      </w:r>
      <w:r>
        <w:rPr>
          <w:rFonts w:hint="default" w:ascii="Times New Roman" w:hAnsi="Times New Roman" w:eastAsia="仿宋" w:cs="Times New Roman"/>
          <w:color w:val="auto"/>
          <w:sz w:val="32"/>
          <w:szCs w:val="32"/>
          <w:highlight w:val="none"/>
          <w:lang w:val="en-US" w:eastAsia="zh-CN"/>
        </w:rPr>
        <w:t>114.61</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3.32</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000000" w:themeColor="text1"/>
          <w:sz w:val="32"/>
          <w:szCs w:val="32"/>
          <w:lang w:val="en-US" w:eastAsia="zh-CN"/>
          <w14:textFill>
            <w14:solidFill>
              <w14:schemeClr w14:val="tx1"/>
            </w14:solidFill>
          </w14:textFill>
        </w:rPr>
        <w:t>2022年无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中职学校改善办学条件</w:t>
      </w:r>
      <w:r>
        <w:rPr>
          <w:rFonts w:hint="eastAsia" w:eastAsia="仿宋" w:cs="Times New Roman"/>
          <w:color w:val="000000" w:themeColor="text1"/>
          <w:sz w:val="32"/>
          <w:szCs w:val="32"/>
          <w:lang w:val="en-US" w:eastAsia="zh-CN"/>
          <w14:textFill>
            <w14:solidFill>
              <w14:schemeClr w14:val="tx1"/>
            </w14:solidFill>
          </w14:textFill>
        </w:rPr>
        <w:t>财政拨款项目。</w:t>
      </w:r>
    </w:p>
    <w:p>
      <w:pPr>
        <w:pStyle w:val="2"/>
        <w:rPr>
          <w:rFonts w:hint="eastAsia" w:ascii="仿宋" w:hAnsi="仿宋" w:eastAsia="仿宋"/>
          <w:color w:val="auto"/>
          <w:sz w:val="32"/>
          <w:szCs w:val="32"/>
          <w:highlight w:val="none"/>
        </w:rPr>
      </w:pPr>
      <w:r>
        <w:rPr>
          <w:sz w:val="30"/>
        </w:rPr>
        <mc:AlternateContent>
          <mc:Choice Requires="wps">
            <w:drawing>
              <wp:anchor distT="0" distB="0" distL="114300" distR="114300" simplePos="0" relativeHeight="251664384" behindDoc="0" locked="0" layoutInCell="1" allowOverlap="1">
                <wp:simplePos x="0" y="0"/>
                <wp:positionH relativeFrom="column">
                  <wp:posOffset>4378325</wp:posOffset>
                </wp:positionH>
                <wp:positionV relativeFrom="paragraph">
                  <wp:posOffset>394335</wp:posOffset>
                </wp:positionV>
                <wp:extent cx="1127760" cy="339090"/>
                <wp:effectExtent l="0" t="0" r="0" b="11430"/>
                <wp:wrapNone/>
                <wp:docPr id="11" name="文本框 11"/>
                <wp:cNvGraphicFramePr/>
                <a:graphic xmlns:a="http://schemas.openxmlformats.org/drawingml/2006/main">
                  <a:graphicData uri="http://schemas.microsoft.com/office/word/2010/wordprocessingShape">
                    <wps:wsp>
                      <wps:cNvSpPr txBox="1"/>
                      <wps:spPr>
                        <a:xfrm>
                          <a:off x="5597525" y="6847205"/>
                          <a:ext cx="1127760" cy="339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75pt;margin-top:31.05pt;height:26.7pt;width:88.8pt;z-index:251664384;mso-width-relative:page;mso-height-relative:page;" fillcolor="#FFFFFF [3201]" filled="t" stroked="f" coordsize="21600,21600" o:gfxdata="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fUU&#10;9dQAAAAKAQAADwAAAAAAAAABACAAAAAiAAAAZHJzL2Rvd25yZXYueG1sUEsBAhQAFAAAAAgAh07i&#10;QFszm+dfAgAAnQQAAA4AAAAAAAAAAQAgAAAAIwEAAGRycy9lMm9Eb2MueG1sUEsFBgAAAAAGAAYA&#10;WQEAAPQFAAAAAA==&#10;">
                <v:fill on="t" focussize="0,0"/>
                <v:stroke on="f" weight="0.5pt"/>
                <v:imagedata o:title=""/>
                <o:lock v:ext="edit" aspectratio="f"/>
                <v:textbox>
                  <w:txbxContent>
                    <w:p>
                      <w:pPr>
                        <w:rPr>
                          <w:rFonts w:hint="default" w:eastAsia="宋体"/>
                          <w:lang w:val="en-US" w:eastAsia="zh-CN"/>
                        </w:rPr>
                      </w:pPr>
                      <w:r>
                        <w:rPr>
                          <w:rFonts w:hint="eastAsia"/>
                          <w:lang w:val="en-US" w:eastAsia="zh-CN"/>
                        </w:rPr>
                        <w:t>单位：万元</w:t>
                      </w:r>
                    </w:p>
                  </w:txbxContent>
                </v:textbox>
              </v:shape>
            </w:pict>
          </mc:Fallback>
        </mc:AlternateContent>
      </w:r>
      <w:r>
        <w:rPr>
          <w:rFonts w:hint="eastAsia" w:eastAsia="仿宋"/>
          <w:lang w:eastAsia="zh-CN"/>
        </w:rPr>
        <w:drawing>
          <wp:inline distT="0" distB="0" distL="114300" distR="114300">
            <wp:extent cx="5499100" cy="2195830"/>
            <wp:effectExtent l="5080" t="4445" r="1270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（图5：一般公共预算财政拨款支出决算变动情况）</w:t>
      </w: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42" w:name="_Toc15377211"/>
      <w:r>
        <w:rPr>
          <w:rFonts w:hint="eastAsia" w:ascii="楷体" w:hAnsi="楷体" w:eastAsia="楷体" w:cs="楷体"/>
          <w:b w:val="0"/>
          <w:bCs/>
          <w:color w:val="auto"/>
          <w:sz w:val="32"/>
          <w:szCs w:val="32"/>
          <w:highlight w:val="none"/>
        </w:rPr>
        <w:t>（二）一般公共预算财政拨款支出决算结构情况</w:t>
      </w:r>
      <w:bookmarkEnd w:id="42"/>
    </w:p>
    <w:p>
      <w:pPr>
        <w:spacing w:line="600" w:lineRule="exact"/>
        <w:ind w:firstLine="64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3,338.97</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bCs/>
          <w:color w:val="auto"/>
          <w:sz w:val="32"/>
          <w:szCs w:val="32"/>
          <w:highlight w:val="none"/>
        </w:rPr>
        <w:t>教育支出</w:t>
      </w:r>
      <w:r>
        <w:rPr>
          <w:rFonts w:hint="default" w:ascii="Times New Roman" w:hAnsi="Times New Roman" w:eastAsia="仿宋" w:cs="Times New Roman"/>
          <w:color w:val="auto"/>
          <w:sz w:val="32"/>
          <w:szCs w:val="32"/>
          <w:highlight w:val="none"/>
          <w:lang w:val="en-US" w:eastAsia="zh-CN"/>
        </w:rPr>
        <w:t>3,264.63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97.77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社会保障和就业支出</w:t>
      </w:r>
      <w:r>
        <w:rPr>
          <w:rFonts w:hint="default" w:ascii="Times New Roman" w:hAnsi="Times New Roman" w:eastAsia="仿宋" w:cs="Times New Roman"/>
          <w:color w:val="auto"/>
          <w:sz w:val="32"/>
          <w:szCs w:val="32"/>
          <w:highlight w:val="none"/>
          <w:lang w:val="en-US" w:eastAsia="zh-CN"/>
        </w:rPr>
        <w:t>49.68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1.49</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1.41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0.04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资源勘探</w:t>
      </w:r>
      <w:r>
        <w:rPr>
          <w:rFonts w:hint="default" w:ascii="Times New Roman" w:hAnsi="Times New Roman" w:eastAsia="仿宋" w:cs="Times New Roman"/>
          <w:b/>
          <w:bCs/>
          <w:color w:val="auto"/>
          <w:sz w:val="32"/>
          <w:szCs w:val="32"/>
          <w:highlight w:val="none"/>
          <w:lang w:eastAsia="zh-CN"/>
        </w:rPr>
        <w:t>工业</w:t>
      </w:r>
      <w:r>
        <w:rPr>
          <w:rFonts w:hint="default" w:ascii="Times New Roman" w:hAnsi="Times New Roman" w:eastAsia="仿宋" w:cs="Times New Roman"/>
          <w:b/>
          <w:bCs/>
          <w:color w:val="auto"/>
          <w:sz w:val="32"/>
          <w:szCs w:val="32"/>
          <w:highlight w:val="none"/>
        </w:rPr>
        <w:t>信息</w:t>
      </w:r>
      <w:r>
        <w:rPr>
          <w:rFonts w:hint="default" w:ascii="Times New Roman" w:hAnsi="Times New Roman" w:eastAsia="仿宋" w:cs="Times New Roman"/>
          <w:color w:val="auto"/>
          <w:sz w:val="32"/>
          <w:szCs w:val="32"/>
          <w:highlight w:val="none"/>
          <w:lang w:val="en-US" w:eastAsia="zh-CN"/>
        </w:rPr>
        <w:t>23.25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0.7</w:t>
      </w:r>
      <w:r>
        <w:rPr>
          <w:rFonts w:hint="default" w:ascii="Times New Roman" w:hAnsi="Times New Roman" w:eastAsia="仿宋" w:cs="Times New Roman"/>
          <w:color w:val="auto"/>
          <w:sz w:val="32"/>
          <w:szCs w:val="32"/>
          <w:highlight w:val="none"/>
        </w:rPr>
        <w:t>%。</w:t>
      </w: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768850" cy="2362835"/>
            <wp:effectExtent l="4445" t="4445" r="12065" b="101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（图6：一般公共预算财政拨款支出决算结构）</w:t>
      </w: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43" w:name="_Toc15377212"/>
      <w:r>
        <w:rPr>
          <w:rFonts w:hint="eastAsia" w:ascii="楷体" w:hAnsi="楷体" w:eastAsia="楷体" w:cs="楷体"/>
          <w:b w:val="0"/>
          <w:bCs/>
          <w:color w:val="auto"/>
          <w:sz w:val="32"/>
          <w:szCs w:val="32"/>
          <w:highlight w:val="none"/>
        </w:rPr>
        <w:t>（三）一般公共预算财政拨款支出决算具体情况</w:t>
      </w:r>
      <w:bookmarkEnd w:id="43"/>
    </w:p>
    <w:p>
      <w:pPr>
        <w:keepNext w:val="0"/>
        <w:keepLines w:val="0"/>
        <w:pageBreakBefore w:val="0"/>
        <w:widowControl w:val="0"/>
        <w:kinsoku/>
        <w:wordWrap/>
        <w:overflowPunct/>
        <w:topLinePunct w:val="0"/>
        <w:bidi w:val="0"/>
        <w:snapToGrid/>
        <w:spacing w:line="590" w:lineRule="exact"/>
        <w:ind w:firstLine="643" w:firstLineChars="200"/>
        <w:textAlignment w:val="auto"/>
        <w:outlineLvl w:val="1"/>
        <w:rPr>
          <w:rFonts w:hint="eastAsia" w:ascii="仿宋" w:hAnsi="仿宋" w:eastAsia="仿宋" w:cs="仿宋"/>
          <w:b w:val="0"/>
          <w:bCs/>
          <w:color w:val="auto"/>
          <w:sz w:val="32"/>
          <w:szCs w:val="32"/>
          <w:highlight w:val="none"/>
        </w:rPr>
      </w:pPr>
      <w:bookmarkStart w:id="44" w:name="_Toc15378460"/>
      <w:bookmarkStart w:id="45" w:name="_Toc15377213"/>
      <w:bookmarkStart w:id="46" w:name="_Toc26956"/>
      <w:bookmarkStart w:id="47" w:name="_Toc15377444"/>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w:t>
      </w:r>
      <w:r>
        <w:rPr>
          <w:rFonts w:hint="eastAsia" w:ascii="仿宋" w:hAnsi="仿宋" w:eastAsia="仿宋" w:cs="仿宋"/>
          <w:b/>
          <w:bCs w:val="0"/>
          <w:color w:val="auto"/>
          <w:sz w:val="32"/>
          <w:szCs w:val="32"/>
          <w:highlight w:val="none"/>
          <w:lang w:eastAsia="zh-CN"/>
        </w:rPr>
        <w:t>一</w:t>
      </w:r>
      <w:r>
        <w:rPr>
          <w:rFonts w:hint="eastAsia" w:ascii="仿宋" w:hAnsi="仿宋" w:eastAsia="仿宋" w:cs="仿宋"/>
          <w:b/>
          <w:bCs w:val="0"/>
          <w:color w:val="auto"/>
          <w:sz w:val="32"/>
          <w:szCs w:val="32"/>
          <w:highlight w:val="none"/>
        </w:rPr>
        <w:t>般公共预算支出决算数为</w:t>
      </w:r>
      <w:r>
        <w:rPr>
          <w:rFonts w:hint="eastAsia" w:ascii="仿宋" w:hAnsi="仿宋" w:eastAsia="仿宋" w:cs="仿宋"/>
          <w:b/>
          <w:bCs w:val="0"/>
          <w:color w:val="auto"/>
          <w:sz w:val="32"/>
          <w:szCs w:val="32"/>
          <w:highlight w:val="none"/>
          <w:lang w:val="en-US" w:eastAsia="zh-CN"/>
        </w:rPr>
        <w:t>3,338.97万元</w:t>
      </w:r>
      <w:r>
        <w:rPr>
          <w:rFonts w:hint="eastAsia" w:ascii="仿宋" w:hAnsi="仿宋" w:eastAsia="仿宋" w:cs="仿宋"/>
          <w:b/>
          <w:bCs w:val="0"/>
          <w:color w:val="auto"/>
          <w:sz w:val="32"/>
          <w:szCs w:val="32"/>
          <w:highlight w:val="none"/>
        </w:rPr>
        <w:t>，</w:t>
      </w:r>
      <w:r>
        <w:rPr>
          <w:rStyle w:val="15"/>
          <w:rFonts w:hint="eastAsia" w:ascii="仿宋" w:hAnsi="仿宋" w:eastAsia="仿宋" w:cs="仿宋"/>
          <w:b/>
          <w:bCs w:val="0"/>
          <w:color w:val="auto"/>
          <w:sz w:val="32"/>
          <w:szCs w:val="32"/>
          <w:highlight w:val="none"/>
        </w:rPr>
        <w:t>完成预算</w:t>
      </w:r>
      <w:r>
        <w:rPr>
          <w:rStyle w:val="15"/>
          <w:rFonts w:hint="eastAsia" w:ascii="仿宋" w:hAnsi="仿宋" w:eastAsia="仿宋" w:cs="仿宋"/>
          <w:b/>
          <w:bCs w:val="0"/>
          <w:color w:val="auto"/>
          <w:sz w:val="32"/>
          <w:szCs w:val="32"/>
          <w:highlight w:val="none"/>
          <w:lang w:val="en-US" w:eastAsia="zh-CN"/>
        </w:rPr>
        <w:t>100</w:t>
      </w:r>
      <w:r>
        <w:rPr>
          <w:rStyle w:val="15"/>
          <w:rFonts w:hint="eastAsia" w:ascii="仿宋" w:hAnsi="仿宋" w:eastAsia="仿宋" w:cs="仿宋"/>
          <w:b/>
          <w:bCs w:val="0"/>
          <w:color w:val="auto"/>
          <w:sz w:val="32"/>
          <w:szCs w:val="32"/>
          <w:highlight w:val="none"/>
        </w:rPr>
        <w:t>%。其中：</w:t>
      </w:r>
      <w:bookmarkEnd w:id="44"/>
      <w:bookmarkEnd w:id="45"/>
      <w:bookmarkEnd w:id="46"/>
      <w:bookmarkEnd w:id="47"/>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b w:val="0"/>
          <w:bCs w:val="0"/>
          <w:color w:val="auto"/>
          <w:sz w:val="32"/>
          <w:szCs w:val="32"/>
          <w:highlight w:val="none"/>
        </w:rPr>
      </w:pPr>
      <w:r>
        <w:rPr>
          <w:rStyle w:val="15"/>
          <w:rFonts w:hint="default" w:ascii="Times New Roman" w:hAnsi="Times New Roman" w:eastAsia="仿宋" w:cs="Times New Roman"/>
          <w:b w:val="0"/>
          <w:bCs w:val="0"/>
          <w:color w:val="auto"/>
          <w:sz w:val="32"/>
          <w:szCs w:val="32"/>
          <w:highlight w:val="none"/>
          <w:lang w:val="en-US" w:eastAsia="zh-CN"/>
        </w:rPr>
        <w:t>1</w:t>
      </w:r>
      <w:r>
        <w:rPr>
          <w:rStyle w:val="15"/>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bCs/>
          <w:color w:val="auto"/>
          <w:sz w:val="32"/>
          <w:szCs w:val="32"/>
          <w:highlight w:val="none"/>
        </w:rPr>
        <w:t>教育（类）</w:t>
      </w:r>
      <w:r>
        <w:rPr>
          <w:rFonts w:hint="default" w:ascii="Times New Roman" w:hAnsi="Times New Roman" w:eastAsia="仿宋" w:cs="Times New Roman"/>
          <w:b/>
          <w:bCs/>
          <w:color w:val="auto"/>
          <w:sz w:val="32"/>
          <w:szCs w:val="32"/>
          <w:highlight w:val="none"/>
          <w:lang w:val="en-US" w:eastAsia="zh-CN"/>
        </w:rPr>
        <w:t>职业教育</w:t>
      </w:r>
      <w:r>
        <w:rPr>
          <w:rFonts w:hint="default" w:ascii="Times New Roman" w:hAnsi="Times New Roman" w:eastAsia="仿宋" w:cs="Times New Roman"/>
          <w:b/>
          <w:bCs/>
          <w:color w:val="auto"/>
          <w:sz w:val="32"/>
          <w:szCs w:val="32"/>
          <w:highlight w:val="none"/>
        </w:rPr>
        <w:t>（款）</w:t>
      </w:r>
      <w:r>
        <w:rPr>
          <w:rFonts w:hint="default" w:ascii="Times New Roman" w:hAnsi="Times New Roman" w:eastAsia="仿宋" w:cs="Times New Roman"/>
          <w:b/>
          <w:bCs/>
          <w:color w:val="auto"/>
          <w:sz w:val="32"/>
          <w:szCs w:val="32"/>
          <w:highlight w:val="none"/>
          <w:lang w:val="en-US" w:eastAsia="zh-CN"/>
        </w:rPr>
        <w:t>中等职业教育</w:t>
      </w:r>
      <w:r>
        <w:rPr>
          <w:rFonts w:hint="default" w:ascii="Times New Roman" w:hAnsi="Times New Roman" w:eastAsia="仿宋" w:cs="Times New Roman"/>
          <w:b/>
          <w:bCs/>
          <w:color w:val="auto"/>
          <w:sz w:val="32"/>
          <w:szCs w:val="32"/>
          <w:highlight w:val="none"/>
        </w:rPr>
        <w:t>（项）</w:t>
      </w:r>
      <w:r>
        <w:rPr>
          <w:rFonts w:hint="default" w:ascii="Times New Roman" w:hAnsi="Times New Roman" w:eastAsia="仿宋" w:cs="Times New Roman"/>
          <w:b w:val="0"/>
          <w:bCs w:val="0"/>
          <w:color w:val="auto"/>
          <w:sz w:val="32"/>
          <w:szCs w:val="32"/>
          <w:highlight w:val="none"/>
        </w:rPr>
        <w:t>: 支出决算为</w:t>
      </w:r>
      <w:r>
        <w:rPr>
          <w:rFonts w:hint="default" w:ascii="Times New Roman" w:hAnsi="Times New Roman" w:eastAsia="仿宋" w:cs="Times New Roman"/>
          <w:b w:val="0"/>
          <w:bCs w:val="0"/>
          <w:color w:val="auto"/>
          <w:sz w:val="32"/>
          <w:szCs w:val="32"/>
          <w:highlight w:val="none"/>
          <w:lang w:val="en-US" w:eastAsia="zh-CN"/>
        </w:rPr>
        <w:t>3,264.63</w:t>
      </w:r>
      <w:r>
        <w:rPr>
          <w:rFonts w:hint="default" w:ascii="Times New Roman" w:hAnsi="Times New Roman" w:eastAsia="仿宋" w:cs="Times New Roman"/>
          <w:b w:val="0"/>
          <w:bCs w:val="0"/>
          <w:color w:val="auto"/>
          <w:sz w:val="32"/>
          <w:szCs w:val="32"/>
          <w:highlight w:val="none"/>
        </w:rPr>
        <w:t>万元，完成预算</w:t>
      </w:r>
      <w:r>
        <w:rPr>
          <w:rFonts w:hint="default" w:ascii="Times New Roman" w:hAnsi="Times New Roman" w:eastAsia="仿宋" w:cs="Times New Roman"/>
          <w:b w:val="0"/>
          <w:bCs w:val="0"/>
          <w:color w:val="auto"/>
          <w:sz w:val="32"/>
          <w:szCs w:val="32"/>
          <w:highlight w:val="none"/>
          <w:lang w:val="en-US" w:eastAsia="zh-CN"/>
        </w:rPr>
        <w:t>100</w:t>
      </w:r>
      <w:r>
        <w:rPr>
          <w:rFonts w:hint="default" w:ascii="Times New Roman" w:hAnsi="Times New Roman" w:eastAsia="仿宋" w:cs="Times New Roman"/>
          <w:b w:val="0"/>
          <w:bCs w:val="0"/>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bCs/>
          <w:color w:val="auto"/>
          <w:sz w:val="32"/>
          <w:szCs w:val="32"/>
          <w:highlight w:val="none"/>
        </w:rPr>
        <w:t>社会保障和就业（类）</w:t>
      </w:r>
      <w:r>
        <w:rPr>
          <w:rFonts w:hint="default" w:ascii="Times New Roman" w:hAnsi="Times New Roman" w:eastAsia="仿宋" w:cs="Times New Roman"/>
          <w:b/>
          <w:bCs/>
          <w:color w:val="auto"/>
          <w:sz w:val="32"/>
          <w:szCs w:val="32"/>
          <w:highlight w:val="none"/>
          <w:lang w:val="en-US" w:eastAsia="zh-CN"/>
        </w:rPr>
        <w:t>行政事业单位养老支出</w:t>
      </w:r>
      <w:r>
        <w:rPr>
          <w:rFonts w:hint="default" w:ascii="Times New Roman" w:hAnsi="Times New Roman" w:eastAsia="仿宋" w:cs="Times New Roman"/>
          <w:b/>
          <w:bCs/>
          <w:color w:val="auto"/>
          <w:sz w:val="32"/>
          <w:szCs w:val="32"/>
          <w:highlight w:val="none"/>
        </w:rPr>
        <w:t>（款）</w:t>
      </w:r>
      <w:r>
        <w:rPr>
          <w:rFonts w:hint="default" w:ascii="Times New Roman" w:hAnsi="Times New Roman" w:eastAsia="仿宋" w:cs="Times New Roman"/>
          <w:b/>
          <w:bCs/>
          <w:color w:val="auto"/>
          <w:sz w:val="32"/>
          <w:szCs w:val="32"/>
          <w:highlight w:val="none"/>
          <w:lang w:val="en-US" w:eastAsia="zh-CN"/>
        </w:rPr>
        <w:t>事业单位离退休</w:t>
      </w:r>
      <w:r>
        <w:rPr>
          <w:rFonts w:hint="default" w:ascii="Times New Roman" w:hAnsi="Times New Roman" w:eastAsia="仿宋" w:cs="Times New Roman"/>
          <w:b/>
          <w:bCs/>
          <w:color w:val="auto"/>
          <w:sz w:val="32"/>
          <w:szCs w:val="32"/>
          <w:highlight w:val="none"/>
        </w:rPr>
        <w:t>（项）</w:t>
      </w:r>
      <w:r>
        <w:rPr>
          <w:rFonts w:hint="default" w:ascii="Times New Roman" w:hAnsi="Times New Roman" w:eastAsia="仿宋" w:cs="Times New Roman"/>
          <w:color w:val="auto"/>
          <w:sz w:val="32"/>
          <w:szCs w:val="32"/>
          <w:highlight w:val="none"/>
        </w:rPr>
        <w:t>: 支出决算为</w:t>
      </w:r>
      <w:r>
        <w:rPr>
          <w:rFonts w:hint="default" w:ascii="Times New Roman" w:hAnsi="Times New Roman" w:eastAsia="仿宋" w:cs="Times New Roman"/>
          <w:color w:val="auto"/>
          <w:sz w:val="32"/>
          <w:szCs w:val="32"/>
          <w:highlight w:val="none"/>
          <w:lang w:val="en-US" w:eastAsia="zh-CN"/>
        </w:rPr>
        <w:t>49.68</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卫生健康（类）行政事业单位医疗（款）事业单位医疗（项）</w:t>
      </w:r>
      <w:r>
        <w:rPr>
          <w:rFonts w:hint="default" w:ascii="Times New Roman" w:hAnsi="Times New Roman" w:eastAsia="仿宋" w:cs="Times New Roman"/>
          <w:color w:val="auto"/>
          <w:sz w:val="32"/>
          <w:szCs w:val="32"/>
          <w:highlight w:val="none"/>
        </w:rPr>
        <w:t>:支出决算为</w:t>
      </w:r>
      <w:r>
        <w:rPr>
          <w:rFonts w:hint="default" w:ascii="Times New Roman" w:hAnsi="Times New Roman" w:eastAsia="仿宋" w:cs="Times New Roman"/>
          <w:color w:val="auto"/>
          <w:sz w:val="32"/>
          <w:szCs w:val="32"/>
          <w:highlight w:val="none"/>
          <w:lang w:val="en-US" w:eastAsia="zh-CN"/>
        </w:rPr>
        <w:t>1.41</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rPr>
        <w:t>资源勘探</w:t>
      </w:r>
      <w:r>
        <w:rPr>
          <w:rFonts w:hint="default" w:ascii="Times New Roman" w:hAnsi="Times New Roman" w:eastAsia="仿宋" w:cs="Times New Roman"/>
          <w:b/>
          <w:bCs/>
          <w:color w:val="auto"/>
          <w:sz w:val="32"/>
          <w:szCs w:val="32"/>
          <w:highlight w:val="none"/>
          <w:lang w:eastAsia="zh-CN"/>
        </w:rPr>
        <w:t>工业</w:t>
      </w:r>
      <w:r>
        <w:rPr>
          <w:rFonts w:hint="default" w:ascii="Times New Roman" w:hAnsi="Times New Roman" w:eastAsia="仿宋" w:cs="Times New Roman"/>
          <w:b/>
          <w:bCs/>
          <w:color w:val="auto"/>
          <w:sz w:val="32"/>
          <w:szCs w:val="32"/>
          <w:highlight w:val="none"/>
        </w:rPr>
        <w:t>信息等（类）资源勘探开发（款） 其他资源勘探业支出（项）</w:t>
      </w:r>
      <w:r>
        <w:rPr>
          <w:rFonts w:hint="default" w:ascii="Times New Roman" w:hAnsi="Times New Roman" w:eastAsia="仿宋" w:cs="Times New Roman"/>
          <w:color w:val="auto"/>
          <w:sz w:val="32"/>
          <w:szCs w:val="32"/>
          <w:highlight w:val="none"/>
        </w:rPr>
        <w:t>：支出决算为</w:t>
      </w:r>
      <w:r>
        <w:rPr>
          <w:rFonts w:hint="default" w:ascii="Times New Roman" w:hAnsi="Times New Roman" w:eastAsia="仿宋" w:cs="Times New Roman"/>
          <w:color w:val="auto"/>
          <w:sz w:val="32"/>
          <w:szCs w:val="32"/>
          <w:highlight w:val="none"/>
          <w:lang w:val="en-US" w:eastAsia="zh-CN"/>
        </w:rPr>
        <w:t>23.25</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p>
    <w:p>
      <w:pPr>
        <w:pStyle w:val="2"/>
        <w:rPr>
          <w:rFonts w:hint="default"/>
        </w:rPr>
      </w:pPr>
    </w:p>
    <w:p>
      <w:pPr>
        <w:keepNext w:val="0"/>
        <w:keepLines w:val="0"/>
        <w:pageBreakBefore w:val="0"/>
        <w:widowControl w:val="0"/>
        <w:tabs>
          <w:tab w:val="right" w:pos="8306"/>
        </w:tabs>
        <w:kinsoku/>
        <w:wordWrap/>
        <w:overflowPunct/>
        <w:topLinePunct w:val="0"/>
        <w:bidi w:val="0"/>
        <w:snapToGrid/>
        <w:spacing w:line="590" w:lineRule="exact"/>
        <w:ind w:firstLine="640"/>
        <w:textAlignment w:val="auto"/>
        <w:outlineLvl w:val="1"/>
        <w:rPr>
          <w:rStyle w:val="26"/>
          <w:rFonts w:hint="default" w:ascii="Times New Roman" w:hAnsi="Times New Roman" w:cs="Times New Roman"/>
          <w:color w:val="auto"/>
          <w:highlight w:val="none"/>
        </w:rPr>
      </w:pPr>
      <w:bookmarkStart w:id="48" w:name="_Toc15377214"/>
      <w:bookmarkStart w:id="49" w:name="_Toc26914"/>
      <w:bookmarkStart w:id="50"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6"/>
          <w:rFonts w:hint="default" w:ascii="Times New Roman" w:hAnsi="Times New Roman" w:eastAsia="黑体" w:cs="Times New Roman"/>
          <w:b w:val="0"/>
          <w:color w:val="auto"/>
          <w:highlight w:val="none"/>
        </w:rPr>
        <w:t>般公共预算财政拨款基本支出决算情况说明</w:t>
      </w:r>
      <w:bookmarkEnd w:id="48"/>
      <w:bookmarkEnd w:id="49"/>
      <w:bookmarkEnd w:id="50"/>
      <w:r>
        <w:rPr>
          <w:rStyle w:val="26"/>
          <w:rFonts w:hint="default" w:ascii="Times New Roman" w:hAnsi="Times New Roman" w:eastAsia="黑体" w:cs="Times New Roman"/>
          <w:b w:val="0"/>
          <w:color w:val="auto"/>
          <w:highlight w:val="none"/>
        </w:rPr>
        <w:tab/>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年一般公共预算财政拨款基本支出</w:t>
      </w:r>
      <w:r>
        <w:rPr>
          <w:rFonts w:hint="default" w:ascii="Times New Roman" w:hAnsi="Times New Roman" w:eastAsia="仿宋" w:cs="Times New Roman"/>
          <w:color w:val="auto"/>
          <w:sz w:val="32"/>
          <w:szCs w:val="32"/>
          <w:highlight w:val="none"/>
          <w:lang w:val="en-US" w:eastAsia="zh-CN"/>
        </w:rPr>
        <w:t>2,466.28</w:t>
      </w:r>
      <w:r>
        <w:rPr>
          <w:rFonts w:hint="default" w:ascii="Times New Roman" w:hAnsi="Times New Roman" w:eastAsia="仿宋" w:cs="Times New Roman"/>
          <w:color w:val="auto"/>
          <w:sz w:val="32"/>
          <w:szCs w:val="32"/>
          <w:highlight w:val="none"/>
        </w:rPr>
        <w:t>万元，其中：</w:t>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2,234.91</w:t>
      </w:r>
      <w:r>
        <w:rPr>
          <w:rFonts w:hint="default" w:ascii="Times New Roman" w:hAnsi="Times New Roman" w:eastAsia="仿宋" w:cs="Times New Roman"/>
          <w:color w:val="auto"/>
          <w:sz w:val="32"/>
          <w:szCs w:val="32"/>
          <w:highlight w:val="none"/>
        </w:rPr>
        <w:t>万元，主要包括：基本工资、津贴补贴、绩效工资、机关事业单位基本养老保险缴费、职业年金缴费、其他社会保障缴费、其他工资福利支出、住房公积金、其他对个人和家庭的补助支出等。</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default" w:ascii="Times New Roman" w:hAnsi="Times New Roman" w:eastAsia="仿宋" w:cs="Times New Roman"/>
          <w:color w:val="auto"/>
          <w:sz w:val="32"/>
          <w:szCs w:val="32"/>
          <w:highlight w:val="none"/>
          <w:lang w:val="en-US" w:eastAsia="zh-CN"/>
        </w:rPr>
        <w:t>231.37</w:t>
      </w:r>
      <w:r>
        <w:rPr>
          <w:rFonts w:hint="default" w:ascii="Times New Roman" w:hAnsi="Times New Roman" w:eastAsia="仿宋" w:cs="Times New Roman"/>
          <w:color w:val="auto"/>
          <w:sz w:val="32"/>
          <w:szCs w:val="32"/>
          <w:highlight w:val="none"/>
        </w:rPr>
        <w:t>万元，主要包括：办公费、咨询费、水费、电费、邮电费、物业管理费、差旅费、培训费、公务接待费、劳务费、工会经费、福利费、其他商品和服务支出等。</w:t>
      </w:r>
    </w:p>
    <w:p>
      <w:pPr>
        <w:pStyle w:val="2"/>
        <w:rPr>
          <w:rFonts w:hint="default"/>
        </w:rPr>
      </w:pPr>
    </w:p>
    <w:p>
      <w:pPr>
        <w:keepNext w:val="0"/>
        <w:keepLines w:val="0"/>
        <w:pageBreakBefore w:val="0"/>
        <w:widowControl w:val="0"/>
        <w:kinsoku/>
        <w:wordWrap/>
        <w:overflowPunct/>
        <w:topLinePunct w:val="0"/>
        <w:bidi w:val="0"/>
        <w:snapToGrid/>
        <w:spacing w:line="590" w:lineRule="exact"/>
        <w:ind w:firstLine="640"/>
        <w:textAlignment w:val="auto"/>
        <w:outlineLvl w:val="1"/>
        <w:rPr>
          <w:rStyle w:val="26"/>
          <w:rFonts w:hint="default" w:ascii="Times New Roman" w:hAnsi="Times New Roman" w:eastAsia="黑体" w:cs="Times New Roman"/>
          <w:b w:val="0"/>
          <w:color w:val="auto"/>
          <w:highlight w:val="none"/>
        </w:rPr>
      </w:pPr>
      <w:bookmarkStart w:id="51" w:name="_Toc15377215"/>
      <w:bookmarkStart w:id="52" w:name="_Toc19838"/>
      <w:bookmarkStart w:id="53" w:name="_Toc15396609"/>
      <w:r>
        <w:rPr>
          <w:rFonts w:hint="default" w:ascii="Times New Roman" w:hAnsi="Times New Roman" w:eastAsia="黑体" w:cs="Times New Roman"/>
          <w:color w:val="auto"/>
          <w:sz w:val="32"/>
          <w:szCs w:val="32"/>
          <w:highlight w:val="none"/>
        </w:rPr>
        <w:t>七、</w:t>
      </w:r>
      <w:r>
        <w:rPr>
          <w:rStyle w:val="26"/>
          <w:rFonts w:hint="default" w:ascii="Times New Roman" w:hAnsi="Times New Roman" w:eastAsia="黑体" w:cs="Times New Roman"/>
          <w:b w:val="0"/>
          <w:color w:val="auto"/>
          <w:highlight w:val="none"/>
        </w:rPr>
        <w:t>财政拨款</w:t>
      </w:r>
      <w:r>
        <w:rPr>
          <w:rStyle w:val="26"/>
          <w:rFonts w:hint="default" w:ascii="Times New Roman" w:hAnsi="Times New Roman" w:eastAsia="黑体" w:cs="Times New Roman"/>
          <w:color w:val="auto"/>
          <w:highlight w:val="none"/>
        </w:rPr>
        <w:t>“</w:t>
      </w:r>
      <w:r>
        <w:rPr>
          <w:rStyle w:val="26"/>
          <w:rFonts w:hint="default" w:ascii="Times New Roman" w:hAnsi="Times New Roman" w:eastAsia="黑体" w:cs="Times New Roman"/>
          <w:b w:val="0"/>
          <w:color w:val="auto"/>
          <w:highlight w:val="none"/>
        </w:rPr>
        <w:t>三公”经费支出决算情况说明</w:t>
      </w:r>
      <w:bookmarkEnd w:id="51"/>
      <w:bookmarkEnd w:id="52"/>
      <w:bookmarkEnd w:id="53"/>
    </w:p>
    <w:p>
      <w:pPr>
        <w:keepNext w:val="0"/>
        <w:keepLines w:val="0"/>
        <w:pageBreakBefore w:val="0"/>
        <w:widowControl w:val="0"/>
        <w:kinsoku/>
        <w:wordWrap/>
        <w:overflowPunct/>
        <w:topLinePunct w:val="0"/>
        <w:bidi w:val="0"/>
        <w:snapToGrid/>
        <w:spacing w:line="590" w:lineRule="exact"/>
        <w:ind w:firstLine="640"/>
        <w:textAlignment w:val="auto"/>
        <w:outlineLvl w:val="2"/>
        <w:rPr>
          <w:rFonts w:hint="eastAsia" w:ascii="楷体" w:hAnsi="楷体" w:eastAsia="楷体" w:cs="楷体"/>
          <w:b w:val="0"/>
          <w:bCs/>
          <w:color w:val="auto"/>
          <w:sz w:val="32"/>
          <w:szCs w:val="32"/>
          <w:highlight w:val="none"/>
        </w:rPr>
      </w:pPr>
      <w:bookmarkStart w:id="54" w:name="_Toc15377216"/>
      <w:r>
        <w:rPr>
          <w:rFonts w:hint="eastAsia" w:ascii="楷体" w:hAnsi="楷体" w:eastAsia="楷体" w:cs="楷体"/>
          <w:b w:val="0"/>
          <w:bCs/>
          <w:color w:val="auto"/>
          <w:sz w:val="32"/>
          <w:szCs w:val="32"/>
          <w:highlight w:val="none"/>
        </w:rPr>
        <w:t>（一）“三公”经费财政拨款支出决算总体情况说明</w:t>
      </w:r>
      <w:bookmarkEnd w:id="54"/>
    </w:p>
    <w:p>
      <w:pPr>
        <w:keepNext w:val="0"/>
        <w:keepLines w:val="0"/>
        <w:widowControl/>
        <w:suppressLineNumbers w:val="0"/>
        <w:ind w:firstLine="640" w:firstLineChars="200"/>
        <w:jc w:val="left"/>
        <w:rPr>
          <w:rFonts w:hint="default"/>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0.93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64.58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减少0.17万元，下降15.45%。</w:t>
      </w:r>
      <w:r>
        <w:rPr>
          <w:rFonts w:hint="eastAsia" w:ascii="仿宋" w:hAnsi="仿宋" w:eastAsia="仿宋"/>
          <w:color w:val="auto"/>
          <w:sz w:val="32"/>
          <w:szCs w:val="32"/>
          <w:highlight w:val="none"/>
        </w:rPr>
        <w:t>决算数小于预算数的主要原因是</w:t>
      </w:r>
      <w:r>
        <w:rPr>
          <w:rFonts w:ascii="仿宋" w:hAnsi="仿宋" w:eastAsia="仿宋" w:cs="仿宋"/>
          <w:color w:val="000000"/>
          <w:kern w:val="0"/>
          <w:sz w:val="31"/>
          <w:szCs w:val="31"/>
          <w:lang w:val="en-US" w:eastAsia="zh-CN" w:bidi="ar"/>
        </w:rPr>
        <w:t>受疫情影</w:t>
      </w:r>
      <w:r>
        <w:rPr>
          <w:rFonts w:hint="eastAsia" w:ascii="仿宋" w:hAnsi="仿宋" w:eastAsia="仿宋" w:cs="仿宋"/>
          <w:color w:val="000000"/>
          <w:kern w:val="0"/>
          <w:sz w:val="31"/>
          <w:szCs w:val="31"/>
          <w:lang w:val="en-US" w:eastAsia="zh-CN" w:bidi="ar"/>
        </w:rPr>
        <w:t>响，学校公务接待次数减少，公务接待费未执行完毕的金额退回国库。</w:t>
      </w:r>
    </w:p>
    <w:p>
      <w:pPr>
        <w:keepNext w:val="0"/>
        <w:keepLines w:val="0"/>
        <w:pageBreakBefore w:val="0"/>
        <w:widowControl w:val="0"/>
        <w:kinsoku/>
        <w:wordWrap/>
        <w:overflowPunct/>
        <w:topLinePunct w:val="0"/>
        <w:bidi w:val="0"/>
        <w:snapToGrid/>
        <w:spacing w:line="590" w:lineRule="exact"/>
        <w:ind w:firstLine="640"/>
        <w:textAlignment w:val="auto"/>
        <w:outlineLvl w:val="2"/>
        <w:rPr>
          <w:rFonts w:hint="eastAsia" w:ascii="楷体" w:hAnsi="楷体" w:eastAsia="楷体" w:cs="楷体"/>
          <w:b w:val="0"/>
          <w:bCs/>
          <w:color w:val="auto"/>
          <w:sz w:val="32"/>
          <w:szCs w:val="32"/>
          <w:highlight w:val="none"/>
        </w:rPr>
      </w:pPr>
      <w:bookmarkStart w:id="55" w:name="_Toc15377217"/>
      <w:r>
        <w:rPr>
          <w:rFonts w:hint="eastAsia" w:ascii="楷体" w:hAnsi="楷体" w:eastAsia="楷体" w:cs="楷体"/>
          <w:b w:val="0"/>
          <w:bCs/>
          <w:color w:val="auto"/>
          <w:sz w:val="32"/>
          <w:szCs w:val="32"/>
          <w:highlight w:val="none"/>
        </w:rPr>
        <w:t>（二）“三公”经费财政拨款支出决算具体情况说明</w:t>
      </w:r>
      <w:bookmarkEnd w:id="55"/>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2022年“三公”经费财政拨款支出决算中，因公出国（境）费支出决算0万元，占0%；公务用车购置及运行维护费支出决算0万元，占0%；公务接待费支出决算0.93万元，占100%。具体情况如下：</w:t>
      </w:r>
    </w:p>
    <w:p>
      <w:pPr>
        <w:pStyle w:val="2"/>
        <w:jc w:val="both"/>
        <w:rPr>
          <w:rFonts w:hint="eastAsia" w:ascii="Times New Roman" w:hAnsi="Times New Roman" w:eastAsia="仿宋" w:cs="Times New Roman"/>
          <w:color w:val="auto"/>
          <w:sz w:val="32"/>
          <w:szCs w:val="32"/>
          <w:highlight w:val="none"/>
          <w:lang w:val="en-US" w:eastAsia="zh-CN"/>
        </w:rPr>
      </w:pPr>
      <w:r>
        <w:rPr>
          <w:rFonts w:hint="eastAsia"/>
          <w:lang w:val="en-US" w:eastAsia="zh-CN"/>
        </w:rPr>
        <w:drawing>
          <wp:inline distT="0" distB="0" distL="114300" distR="114300">
            <wp:extent cx="4951095" cy="2072640"/>
            <wp:effectExtent l="4445" t="4445" r="16510"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590" w:lineRule="exact"/>
        <w:jc w:val="center"/>
        <w:textAlignment w:val="auto"/>
        <w:outlineLvl w:val="1"/>
        <w:rPr>
          <w:rFonts w:hint="default" w:ascii="Times New Roman" w:hAnsi="Times New Roman" w:eastAsia="仿宋" w:cs="Times New Roman"/>
          <w:color w:val="auto"/>
          <w:sz w:val="24"/>
          <w:szCs w:val="24"/>
          <w:highlight w:val="none"/>
          <w:lang w:val="en-US" w:eastAsia="zh-CN"/>
        </w:rPr>
      </w:pPr>
      <w:bookmarkStart w:id="56" w:name="_Toc15166"/>
      <w:r>
        <w:rPr>
          <w:rFonts w:hint="eastAsia" w:ascii="Times New Roman" w:hAnsi="Times New Roman" w:eastAsia="仿宋" w:cs="Times New Roman"/>
          <w:color w:val="auto"/>
          <w:sz w:val="24"/>
          <w:szCs w:val="24"/>
          <w:highlight w:val="none"/>
          <w:lang w:val="en-US" w:eastAsia="zh-CN"/>
        </w:rPr>
        <w:t>（图7：“三公”经费财政拨款支出结构）</w:t>
      </w:r>
      <w:bookmarkEnd w:id="56"/>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因公出国（境）经费支出0万元，完成预算100</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。全年安排因公出国（境）团组0次，出国（境）0人。因公出国（境）支出决算与</w:t>
      </w:r>
      <w:r>
        <w:rPr>
          <w:rFonts w:hint="default" w:ascii="Times New Roman" w:hAnsi="Times New Roman" w:eastAsia="仿宋" w:cs="Times New Roman"/>
          <w:color w:val="auto"/>
          <w:sz w:val="32"/>
          <w:szCs w:val="32"/>
          <w:highlight w:val="none"/>
          <w:lang w:val="en-US" w:eastAsia="zh-CN"/>
        </w:rPr>
        <w:t>20</w:t>
      </w:r>
      <w:r>
        <w:rPr>
          <w:rFonts w:hint="eastAsia" w:ascii="Times New Roman" w:hAnsi="Times New Roman" w:eastAsia="仿宋" w:cs="Times New Roman"/>
          <w:color w:val="auto"/>
          <w:sz w:val="32"/>
          <w:szCs w:val="32"/>
          <w:highlight w:val="none"/>
          <w:lang w:val="en-US" w:eastAsia="zh-CN"/>
        </w:rPr>
        <w:t>21年持平，2021年</w:t>
      </w:r>
      <w:r>
        <w:rPr>
          <w:rFonts w:hint="default" w:ascii="Times New Roman" w:hAnsi="Times New Roman" w:eastAsia="仿宋" w:cs="Times New Roman"/>
          <w:color w:val="auto"/>
          <w:sz w:val="32"/>
          <w:szCs w:val="32"/>
          <w:highlight w:val="none"/>
          <w:lang w:val="en-US" w:eastAsia="zh-CN"/>
        </w:rPr>
        <w:t>因公出国（境）支出决算 0 万元</w:t>
      </w:r>
      <w:r>
        <w:rPr>
          <w:rFonts w:hint="eastAsia" w:ascii="Times New Roman" w:hAnsi="Times New Roman" w:eastAsia="仿宋" w:cs="Times New Roman"/>
          <w:color w:val="auto"/>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val="en-US" w:eastAsia="zh-CN"/>
        </w:rPr>
        <w:t>公务用车购置及运行维护费支出0万元,</w:t>
      </w:r>
      <w:r>
        <w:rPr>
          <w:rFonts w:hint="default" w:ascii="Times New Roman" w:hAnsi="Times New Roman" w:eastAsia="仿宋" w:cs="Times New Roman"/>
          <w:color w:val="auto"/>
          <w:sz w:val="32"/>
          <w:szCs w:val="32"/>
          <w:highlight w:val="none"/>
          <w:lang w:val="en-US" w:eastAsia="zh-CN"/>
        </w:rPr>
        <w:t>完成预算100%。与202</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年同样，学校未安排财政拨款的公务用车购置及运行维护费，202</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年公务用车购置及运行维护费财政拨款支出决算0万元。</w:t>
      </w:r>
      <w:r>
        <w:rPr>
          <w:rFonts w:hint="eastAsia" w:eastAsia="仿宋" w:cs="Times New Roman"/>
          <w:color w:val="auto"/>
          <w:sz w:val="32"/>
          <w:szCs w:val="32"/>
          <w:highlight w:val="none"/>
          <w:lang w:val="en-US" w:eastAsia="zh-CN"/>
        </w:rPr>
        <w:t>截止2022年12月底，单位共有公务用车4辆，其中：轿车3辆，其他车型1辆。</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val="en-US" w:eastAsia="zh-CN"/>
        </w:rPr>
        <w:t>公务接待费支出0.93万元，完成预算</w:t>
      </w:r>
      <w:r>
        <w:rPr>
          <w:rFonts w:hint="eastAsia" w:eastAsia="仿宋" w:cs="Times New Roman"/>
          <w:color w:val="auto"/>
          <w:sz w:val="32"/>
          <w:szCs w:val="32"/>
          <w:highlight w:val="none"/>
          <w:lang w:val="en-US" w:eastAsia="zh-CN"/>
        </w:rPr>
        <w:t>64.58</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。公务接待费支出决算比</w:t>
      </w:r>
      <w:r>
        <w:rPr>
          <w:rFonts w:hint="default" w:ascii="Times New Roman" w:hAnsi="Times New Roman" w:eastAsia="仿宋" w:cs="Times New Roman"/>
          <w:color w:val="auto"/>
          <w:sz w:val="32"/>
          <w:szCs w:val="32"/>
          <w:highlight w:val="none"/>
          <w:lang w:val="en-US" w:eastAsia="zh-CN"/>
        </w:rPr>
        <w:t>20</w:t>
      </w:r>
      <w:r>
        <w:rPr>
          <w:rFonts w:hint="eastAsia" w:ascii="Times New Roman" w:hAnsi="Times New Roman" w:eastAsia="仿宋" w:cs="Times New Roman"/>
          <w:color w:val="auto"/>
          <w:sz w:val="32"/>
          <w:szCs w:val="32"/>
          <w:highlight w:val="none"/>
          <w:lang w:val="en-US" w:eastAsia="zh-CN"/>
        </w:rPr>
        <w:t>21年减少0.17万元，下降15.45</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。主要原因是</w:t>
      </w:r>
      <w:r>
        <w:rPr>
          <w:rFonts w:hint="default" w:ascii="Times New Roman" w:hAnsi="Times New Roman" w:eastAsia="仿宋" w:cs="Times New Roman"/>
          <w:color w:val="auto"/>
          <w:sz w:val="32"/>
          <w:szCs w:val="32"/>
          <w:highlight w:val="none"/>
          <w:lang w:val="en-US" w:eastAsia="zh-CN"/>
        </w:rPr>
        <w:t>受疫情影响，在维持正常公务接待工作前提下，厉行节约，合理控制公务接待支出</w:t>
      </w:r>
      <w:r>
        <w:rPr>
          <w:rFonts w:hint="eastAsia" w:ascii="Times New Roman" w:hAnsi="Times New Roman" w:eastAsia="仿宋" w:cs="Times New Roman"/>
          <w:color w:val="auto"/>
          <w:sz w:val="32"/>
          <w:szCs w:val="32"/>
          <w:highlight w:val="none"/>
          <w:lang w:val="en-US" w:eastAsia="zh-CN"/>
        </w:rPr>
        <w:t>。其中：</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国内公务接待支出0.93万元，主要用于</w:t>
      </w:r>
      <w:r>
        <w:rPr>
          <w:rFonts w:hint="default" w:ascii="Times New Roman" w:hAnsi="Times New Roman" w:eastAsia="仿宋" w:cs="Times New Roman"/>
          <w:color w:val="auto"/>
          <w:sz w:val="32"/>
          <w:szCs w:val="32"/>
          <w:highlight w:val="none"/>
          <w:lang w:val="en-US" w:eastAsia="zh-CN"/>
        </w:rPr>
        <w:t>开展学校教育教学活动、接待相关学校、单位到我校洽谈工作、交流学习，保障了学校正常公务接待需要</w:t>
      </w:r>
      <w:r>
        <w:rPr>
          <w:rFonts w:hint="eastAsia" w:ascii="Times New Roman" w:hAnsi="Times New Roman" w:eastAsia="仿宋" w:cs="Times New Roman"/>
          <w:color w:val="auto"/>
          <w:sz w:val="32"/>
          <w:szCs w:val="32"/>
          <w:highlight w:val="none"/>
          <w:lang w:val="en-US" w:eastAsia="zh-CN"/>
        </w:rPr>
        <w:t>。国内公务接待18批次，77人次（不包括陪同人员），共计支出0.93万元，具体内容包括：</w:t>
      </w:r>
      <w:r>
        <w:rPr>
          <w:rFonts w:hint="default" w:ascii="Times New Roman" w:hAnsi="Times New Roman" w:eastAsia="仿宋" w:cs="Times New Roman"/>
          <w:color w:val="auto"/>
          <w:sz w:val="32"/>
          <w:szCs w:val="32"/>
          <w:highlight w:val="none"/>
          <w:lang w:val="en-US" w:eastAsia="zh-CN"/>
        </w:rPr>
        <w:t>校校</w:t>
      </w:r>
      <w:r>
        <w:rPr>
          <w:rFonts w:hint="eastAsia" w:eastAsia="仿宋" w:cs="Times New Roman"/>
          <w:color w:val="auto"/>
          <w:sz w:val="32"/>
          <w:szCs w:val="32"/>
          <w:highlight w:val="none"/>
          <w:lang w:val="en-US" w:eastAsia="zh-CN"/>
        </w:rPr>
        <w:t>交流</w:t>
      </w:r>
      <w:r>
        <w:rPr>
          <w:rFonts w:hint="default" w:ascii="Times New Roman" w:hAnsi="Times New Roman" w:eastAsia="仿宋" w:cs="Times New Roman"/>
          <w:color w:val="auto"/>
          <w:sz w:val="32"/>
          <w:szCs w:val="32"/>
          <w:highlight w:val="none"/>
          <w:lang w:val="en-US" w:eastAsia="zh-CN"/>
        </w:rPr>
        <w:t>合作</w:t>
      </w:r>
      <w:r>
        <w:rPr>
          <w:rFonts w:hint="eastAsia" w:eastAsia="仿宋" w:cs="Times New Roman"/>
          <w:color w:val="auto"/>
          <w:sz w:val="32"/>
          <w:szCs w:val="32"/>
          <w:highlight w:val="none"/>
          <w:lang w:val="en-US" w:eastAsia="zh-CN"/>
        </w:rPr>
        <w:t>0.14</w:t>
      </w:r>
      <w:r>
        <w:rPr>
          <w:rFonts w:hint="default" w:ascii="Times New Roman" w:hAnsi="Times New Roman" w:eastAsia="仿宋" w:cs="Times New Roman"/>
          <w:color w:val="auto"/>
          <w:sz w:val="32"/>
          <w:szCs w:val="32"/>
          <w:highlight w:val="none"/>
          <w:lang w:val="en-US" w:eastAsia="zh-CN"/>
        </w:rPr>
        <w:t>万元、校企合作</w:t>
      </w:r>
      <w:r>
        <w:rPr>
          <w:rFonts w:hint="eastAsia" w:eastAsia="仿宋" w:cs="Times New Roman"/>
          <w:color w:val="auto"/>
          <w:sz w:val="32"/>
          <w:szCs w:val="32"/>
          <w:highlight w:val="none"/>
          <w:lang w:val="en-US" w:eastAsia="zh-CN"/>
        </w:rPr>
        <w:t>0.79</w:t>
      </w:r>
      <w:r>
        <w:rPr>
          <w:rFonts w:hint="default" w:ascii="Times New Roman" w:hAnsi="Times New Roman" w:eastAsia="仿宋" w:cs="Times New Roman"/>
          <w:color w:val="auto"/>
          <w:sz w:val="32"/>
          <w:szCs w:val="32"/>
          <w:highlight w:val="none"/>
          <w:lang w:val="en-US" w:eastAsia="zh-CN"/>
        </w:rPr>
        <w:t>万元。</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外事接待支出0万元。</w:t>
      </w:r>
      <w:bookmarkStart w:id="57" w:name="_Toc15377218"/>
      <w:bookmarkStart w:id="58" w:name="_Toc15396610"/>
    </w:p>
    <w:p>
      <w:pPr>
        <w:pStyle w:val="2"/>
      </w:pPr>
    </w:p>
    <w:p>
      <w:pPr>
        <w:spacing w:line="600" w:lineRule="exact"/>
        <w:ind w:firstLine="640"/>
        <w:outlineLvl w:val="1"/>
        <w:rPr>
          <w:rStyle w:val="26"/>
          <w:rFonts w:ascii="黑体" w:hAnsi="黑体" w:eastAsia="黑体"/>
          <w:color w:val="auto"/>
          <w:highlight w:val="none"/>
        </w:rPr>
      </w:pPr>
      <w:bookmarkStart w:id="59" w:name="_Toc3636"/>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57"/>
      <w:bookmarkEnd w:id="58"/>
      <w:bookmarkEnd w:id="59"/>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w:t>
      </w:r>
      <w:r>
        <w:rPr>
          <w:rFonts w:hint="eastAsia" w:ascii="Times New Roman" w:hAnsi="Times New Roman" w:eastAsia="仿宋" w:cs="Times New Roman"/>
          <w:color w:val="auto"/>
          <w:sz w:val="32"/>
          <w:szCs w:val="32"/>
          <w:highlight w:val="none"/>
          <w:lang w:val="en-US" w:eastAsia="zh-CN"/>
        </w:rPr>
        <w:t>22年政府性基金预算财政拨款支出0万元。</w:t>
      </w:r>
    </w:p>
    <w:p>
      <w:pPr>
        <w:pStyle w:val="2"/>
      </w:pPr>
    </w:p>
    <w:p>
      <w:pPr>
        <w:numPr>
          <w:ilvl w:val="0"/>
          <w:numId w:val="1"/>
        </w:numPr>
        <w:spacing w:line="600" w:lineRule="exact"/>
        <w:ind w:firstLine="640"/>
        <w:outlineLvl w:val="1"/>
        <w:rPr>
          <w:rStyle w:val="26"/>
          <w:rFonts w:ascii="黑体" w:hAnsi="黑体" w:eastAsia="黑体"/>
          <w:b w:val="0"/>
          <w:color w:val="auto"/>
          <w:highlight w:val="none"/>
        </w:rPr>
      </w:pPr>
      <w:bookmarkStart w:id="60" w:name="_Toc15008"/>
      <w:bookmarkStart w:id="61" w:name="_Toc15377219"/>
      <w:bookmarkStart w:id="62" w:name="_Toc15396611"/>
      <w:r>
        <w:rPr>
          <w:rStyle w:val="26"/>
          <w:rFonts w:hint="eastAsia" w:ascii="黑体" w:hAnsi="黑体" w:eastAsia="黑体"/>
          <w:b w:val="0"/>
          <w:color w:val="auto"/>
          <w:highlight w:val="none"/>
        </w:rPr>
        <w:t>国有资本经营预算支出决算情况说明</w:t>
      </w:r>
      <w:bookmarkEnd w:id="60"/>
      <w:bookmarkEnd w:id="61"/>
      <w:bookmarkEnd w:id="62"/>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w:t>
      </w:r>
      <w:r>
        <w:rPr>
          <w:rFonts w:hint="eastAsia" w:ascii="Times New Roman" w:hAnsi="Times New Roman" w:eastAsia="仿宋" w:cs="Times New Roman"/>
          <w:color w:val="auto"/>
          <w:sz w:val="32"/>
          <w:szCs w:val="32"/>
          <w:highlight w:val="none"/>
          <w:lang w:val="en-US" w:eastAsia="zh-CN"/>
        </w:rPr>
        <w:t>22年国有资本经营预算财政拨款支出0万元。</w:t>
      </w:r>
    </w:p>
    <w:p>
      <w:pPr>
        <w:pStyle w:val="2"/>
        <w:rPr>
          <w:rFonts w:hint="default"/>
          <w:lang w:val="en-US" w:eastAsia="zh-CN"/>
        </w:rPr>
      </w:pPr>
    </w:p>
    <w:p>
      <w:pPr>
        <w:numPr>
          <w:ilvl w:val="0"/>
          <w:numId w:val="1"/>
        </w:numPr>
        <w:spacing w:line="600" w:lineRule="exact"/>
        <w:ind w:firstLine="640"/>
        <w:outlineLvl w:val="1"/>
        <w:rPr>
          <w:rStyle w:val="26"/>
          <w:rFonts w:hint="eastAsia" w:ascii="黑体" w:hAnsi="黑体" w:eastAsia="黑体"/>
          <w:b w:val="0"/>
          <w:color w:val="auto"/>
          <w:highlight w:val="none"/>
        </w:rPr>
      </w:pPr>
      <w:bookmarkStart w:id="63" w:name="_Toc6050"/>
      <w:bookmarkStart w:id="64" w:name="_Toc15396612"/>
      <w:bookmarkStart w:id="65" w:name="_Toc15377221"/>
      <w:r>
        <w:rPr>
          <w:rStyle w:val="26"/>
          <w:rFonts w:hint="eastAsia" w:ascii="黑体" w:hAnsi="黑体" w:eastAsia="黑体"/>
          <w:b w:val="0"/>
          <w:color w:val="auto"/>
          <w:highlight w:val="none"/>
        </w:rPr>
        <w:t>其他重要事项的情况说明</w:t>
      </w:r>
      <w:bookmarkEnd w:id="63"/>
      <w:bookmarkEnd w:id="64"/>
      <w:bookmarkEnd w:id="65"/>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66" w:name="_Toc15377222"/>
      <w:r>
        <w:rPr>
          <w:rFonts w:hint="eastAsia" w:ascii="楷体" w:hAnsi="楷体" w:eastAsia="楷体" w:cs="楷体"/>
          <w:b w:val="0"/>
          <w:bCs/>
          <w:color w:val="auto"/>
          <w:sz w:val="32"/>
          <w:szCs w:val="32"/>
          <w:highlight w:val="none"/>
        </w:rPr>
        <w:t>（一）机关运行经费支出情况</w:t>
      </w:r>
      <w:bookmarkEnd w:id="66"/>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_GB2312" w:cs="Times New Roman"/>
          <w:color w:val="auto"/>
          <w:sz w:val="32"/>
          <w:szCs w:val="32"/>
          <w:highlight w:val="none"/>
          <w:lang w:val="en-US" w:eastAsia="zh-CN"/>
        </w:rPr>
      </w:pPr>
      <w:bookmarkStart w:id="67" w:name="_Toc32663"/>
      <w:bookmarkStart w:id="68" w:name="_Toc15377223"/>
      <w:r>
        <w:rPr>
          <w:rFonts w:hint="default" w:ascii="Times New Roman" w:hAnsi="Times New Roman" w:eastAsia="仿宋" w:cs="Times New Roman"/>
          <w:color w:val="auto"/>
          <w:sz w:val="32"/>
          <w:szCs w:val="32"/>
          <w:highlight w:val="none"/>
          <w:lang w:val="en-US" w:eastAsia="zh-CN"/>
        </w:rPr>
        <w:t>202</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年无机关运行经费支出</w:t>
      </w:r>
      <w:r>
        <w:rPr>
          <w:rFonts w:hint="default" w:ascii="Times New Roman" w:hAnsi="Times New Roman" w:eastAsia="仿宋_GB2312" w:cs="Times New Roman"/>
          <w:color w:val="auto"/>
          <w:sz w:val="32"/>
          <w:szCs w:val="32"/>
          <w:highlight w:val="none"/>
          <w:lang w:val="en-US" w:eastAsia="zh-CN"/>
        </w:rPr>
        <w:t>。</w:t>
      </w:r>
      <w:bookmarkEnd w:id="67"/>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（二）政府采购支出情况</w:t>
      </w:r>
      <w:bookmarkEnd w:id="68"/>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22</w:t>
      </w:r>
      <w:r>
        <w:rPr>
          <w:rFonts w:hint="eastAsia"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核工业成都机电学校</w:t>
      </w:r>
      <w:r>
        <w:rPr>
          <w:rFonts w:hint="eastAsia" w:ascii="Times New Roman" w:hAnsi="Times New Roman" w:eastAsia="仿宋" w:cs="Times New Roman"/>
          <w:sz w:val="32"/>
          <w:szCs w:val="32"/>
        </w:rPr>
        <w:t>政府采购支出总额</w:t>
      </w:r>
      <w:r>
        <w:rPr>
          <w:rFonts w:hint="eastAsia" w:ascii="Times New Roman" w:hAnsi="Times New Roman" w:eastAsia="仿宋" w:cs="Times New Roman"/>
          <w:sz w:val="32"/>
          <w:szCs w:val="32"/>
          <w:lang w:val="en-US" w:eastAsia="zh-CN"/>
        </w:rPr>
        <w:t>406.21</w:t>
      </w:r>
      <w:r>
        <w:rPr>
          <w:rFonts w:hint="eastAsia" w:ascii="Times New Roman" w:hAnsi="Times New Roman" w:eastAsia="仿宋" w:cs="Times New Roman"/>
          <w:sz w:val="32"/>
          <w:szCs w:val="32"/>
        </w:rPr>
        <w:t>万元，其中：政府采购货物支出</w:t>
      </w:r>
      <w:r>
        <w:rPr>
          <w:rFonts w:hint="eastAsia" w:ascii="Times New Roman" w:hAnsi="Times New Roman" w:eastAsia="仿宋" w:cs="Times New Roman"/>
          <w:sz w:val="32"/>
          <w:szCs w:val="32"/>
          <w:lang w:val="en-US" w:eastAsia="zh-CN"/>
        </w:rPr>
        <w:t>39.08</w:t>
      </w:r>
      <w:r>
        <w:rPr>
          <w:rFonts w:hint="eastAsia" w:ascii="Times New Roman" w:hAnsi="Times New Roman" w:eastAsia="仿宋" w:cs="Times New Roman"/>
          <w:sz w:val="32"/>
          <w:szCs w:val="32"/>
        </w:rPr>
        <w:t>万元、政府采购工程支出</w:t>
      </w:r>
      <w:r>
        <w:rPr>
          <w:rFonts w:hint="eastAsia" w:ascii="Times New Roman" w:hAnsi="Times New Roman" w:eastAsia="仿宋" w:cs="Times New Roman"/>
          <w:sz w:val="32"/>
          <w:szCs w:val="32"/>
          <w:lang w:val="en-US" w:eastAsia="zh-CN"/>
        </w:rPr>
        <w:t>359.45</w:t>
      </w:r>
      <w:r>
        <w:rPr>
          <w:rFonts w:hint="eastAsia" w:ascii="Times New Roman" w:hAnsi="Times New Roman" w:eastAsia="仿宋" w:cs="Times New Roman"/>
          <w:sz w:val="32"/>
          <w:szCs w:val="32"/>
        </w:rPr>
        <w:t>万元、政府采购服务支出</w:t>
      </w:r>
      <w:r>
        <w:rPr>
          <w:rFonts w:hint="eastAsia" w:ascii="Times New Roman" w:hAnsi="Times New Roman" w:eastAsia="仿宋" w:cs="Times New Roman"/>
          <w:sz w:val="32"/>
          <w:szCs w:val="32"/>
          <w:lang w:val="en-US" w:eastAsia="zh-CN"/>
        </w:rPr>
        <w:t>7.68</w:t>
      </w:r>
      <w:r>
        <w:rPr>
          <w:rFonts w:hint="eastAsia" w:ascii="Times New Roman" w:hAnsi="Times New Roman" w:eastAsia="仿宋" w:cs="Times New Roman"/>
          <w:sz w:val="32"/>
          <w:szCs w:val="32"/>
        </w:rPr>
        <w:t>万元。主要用于</w:t>
      </w:r>
      <w:r>
        <w:rPr>
          <w:rFonts w:hint="default" w:ascii="Times New Roman" w:hAnsi="Times New Roman" w:eastAsia="仿宋" w:cs="Times New Roman"/>
          <w:sz w:val="32"/>
          <w:szCs w:val="32"/>
        </w:rPr>
        <w:t>主要用于实习实训</w:t>
      </w:r>
      <w:r>
        <w:rPr>
          <w:rFonts w:hint="eastAsia" w:ascii="Times New Roman" w:hAnsi="Times New Roman" w:eastAsia="仿宋" w:cs="Times New Roman"/>
          <w:sz w:val="32"/>
          <w:szCs w:val="32"/>
          <w:lang w:val="en-US" w:eastAsia="zh-CN"/>
        </w:rPr>
        <w:t>基地</w:t>
      </w:r>
      <w:r>
        <w:rPr>
          <w:rFonts w:hint="default" w:ascii="Times New Roman" w:hAnsi="Times New Roman" w:eastAsia="仿宋" w:cs="Times New Roman"/>
          <w:sz w:val="32"/>
          <w:szCs w:val="32"/>
        </w:rPr>
        <w:t>建设、学校信息化建设、购置办公设备、车辆维修维护、车辆加油及保险等。改善了学校教育教学环境，提升了实训设备配置。</w:t>
      </w:r>
      <w:r>
        <w:rPr>
          <w:rFonts w:hint="eastAsia" w:ascii="Times New Roman" w:hAnsi="Times New Roman" w:eastAsia="仿宋" w:cs="Times New Roman"/>
          <w:sz w:val="32"/>
          <w:szCs w:val="32"/>
        </w:rPr>
        <w:t>授予中小企业合同金额</w:t>
      </w:r>
      <w:r>
        <w:rPr>
          <w:rFonts w:hint="eastAsia" w:ascii="Times New Roman" w:hAnsi="Times New Roman" w:eastAsia="仿宋" w:cs="Times New Roman"/>
          <w:sz w:val="32"/>
          <w:szCs w:val="32"/>
          <w:lang w:val="en-US" w:eastAsia="zh-CN"/>
        </w:rPr>
        <w:t>381.60</w:t>
      </w:r>
      <w:r>
        <w:rPr>
          <w:rFonts w:hint="eastAsia" w:ascii="Times New Roman" w:hAnsi="Times New Roman" w:eastAsia="仿宋" w:cs="Times New Roman"/>
          <w:sz w:val="32"/>
          <w:szCs w:val="32"/>
        </w:rPr>
        <w:t>万元，占政府采购支出总额的</w:t>
      </w:r>
      <w:r>
        <w:rPr>
          <w:rFonts w:hint="eastAsia" w:ascii="Times New Roman" w:hAnsi="Times New Roman" w:eastAsia="仿宋" w:cs="Times New Roman"/>
          <w:sz w:val="32"/>
          <w:szCs w:val="32"/>
          <w:lang w:val="en-US" w:eastAsia="zh-CN"/>
        </w:rPr>
        <w:t>93.94</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rPr>
        <w:t>，其中：授予小微企业合同金额</w:t>
      </w:r>
      <w:r>
        <w:rPr>
          <w:rFonts w:hint="eastAsia" w:ascii="Times New Roman" w:hAnsi="Times New Roman" w:eastAsia="仿宋" w:cs="Times New Roman"/>
          <w:sz w:val="32"/>
          <w:szCs w:val="32"/>
          <w:lang w:val="en-US" w:eastAsia="zh-CN"/>
        </w:rPr>
        <w:t>381.60</w:t>
      </w:r>
      <w:r>
        <w:rPr>
          <w:rFonts w:hint="eastAsia" w:ascii="Times New Roman" w:hAnsi="Times New Roman" w:eastAsia="仿宋" w:cs="Times New Roman"/>
          <w:sz w:val="32"/>
          <w:szCs w:val="32"/>
        </w:rPr>
        <w:t>万元，占政府采购支出总额的</w:t>
      </w:r>
      <w:r>
        <w:rPr>
          <w:rFonts w:hint="eastAsia" w:ascii="Times New Roman" w:hAnsi="Times New Roman" w:eastAsia="仿宋" w:cs="Times New Roman"/>
          <w:sz w:val="32"/>
          <w:szCs w:val="32"/>
          <w:lang w:val="en-US" w:eastAsia="zh-CN"/>
        </w:rPr>
        <w:t>93.94</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rPr>
        <w:t>。</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bookmarkStart w:id="69" w:name="_Toc15377224"/>
      <w:r>
        <w:rPr>
          <w:rFonts w:hint="eastAsia" w:ascii="楷体" w:hAnsi="楷体" w:eastAsia="楷体" w:cs="楷体"/>
          <w:b w:val="0"/>
          <w:bCs/>
          <w:color w:val="auto"/>
          <w:sz w:val="32"/>
          <w:szCs w:val="32"/>
          <w:highlight w:val="none"/>
        </w:rPr>
        <w:t>（三）国有资产占有使用情况</w:t>
      </w:r>
      <w:bookmarkEnd w:id="69"/>
    </w:p>
    <w:p>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截至</w:t>
      </w: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22</w:t>
      </w:r>
      <w:r>
        <w:rPr>
          <w:rFonts w:hint="eastAsia" w:ascii="Times New Roman" w:hAnsi="Times New Roman" w:eastAsia="仿宋" w:cs="Times New Roman"/>
          <w:sz w:val="32"/>
          <w:szCs w:val="32"/>
        </w:rPr>
        <w:t>年</w:t>
      </w:r>
      <w:r>
        <w:rPr>
          <w:rFonts w:hint="default" w:ascii="Times New Roman" w:hAnsi="Times New Roman" w:eastAsia="仿宋" w:cs="Times New Roman"/>
          <w:sz w:val="32"/>
          <w:szCs w:val="32"/>
        </w:rPr>
        <w:t>12</w:t>
      </w:r>
      <w:r>
        <w:rPr>
          <w:rFonts w:hint="eastAsia" w:ascii="Times New Roman" w:hAnsi="Times New Roman" w:eastAsia="仿宋" w:cs="Times New Roman"/>
          <w:sz w:val="32"/>
          <w:szCs w:val="32"/>
        </w:rPr>
        <w:t>月</w:t>
      </w:r>
      <w:r>
        <w:rPr>
          <w:rFonts w:hint="default" w:ascii="Times New Roman" w:hAnsi="Times New Roman" w:eastAsia="仿宋" w:cs="Times New Roman"/>
          <w:sz w:val="32"/>
          <w:szCs w:val="32"/>
        </w:rPr>
        <w:t>31</w:t>
      </w:r>
      <w:r>
        <w:rPr>
          <w:rFonts w:hint="eastAsia"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核工业成都机电学校</w:t>
      </w:r>
      <w:r>
        <w:rPr>
          <w:rFonts w:hint="eastAsia" w:ascii="Times New Roman" w:hAnsi="Times New Roman" w:eastAsia="仿宋" w:cs="Times New Roman"/>
          <w:sz w:val="32"/>
          <w:szCs w:val="32"/>
        </w:rPr>
        <w:t>共有车辆</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辆，</w:t>
      </w:r>
      <w:r>
        <w:rPr>
          <w:rFonts w:hint="eastAsia" w:eastAsia="仿宋" w:cs="Times New Roman"/>
          <w:sz w:val="32"/>
          <w:szCs w:val="32"/>
          <w:lang w:val="en-US" w:eastAsia="zh-CN"/>
        </w:rPr>
        <w:t>为</w:t>
      </w:r>
      <w:r>
        <w:rPr>
          <w:rFonts w:hint="eastAsia" w:ascii="Times New Roman" w:hAnsi="Times New Roman" w:eastAsia="仿宋" w:cs="Times New Roman"/>
          <w:sz w:val="32"/>
          <w:szCs w:val="32"/>
        </w:rPr>
        <w:t>其他用车</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其他用车主要是用于</w:t>
      </w:r>
      <w:r>
        <w:rPr>
          <w:rFonts w:hint="default" w:ascii="Times New Roman" w:hAnsi="Times New Roman" w:eastAsia="仿宋" w:cs="Times New Roman"/>
          <w:sz w:val="32"/>
          <w:szCs w:val="32"/>
          <w:lang w:val="en-US" w:eastAsia="zh-CN"/>
        </w:rPr>
        <w:t>保障学校正常的公务用车</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单价</w:t>
      </w:r>
      <w:r>
        <w:rPr>
          <w:rFonts w:hint="default" w:ascii="Times New Roman" w:hAnsi="Times New Roman" w:eastAsia="仿宋" w:cs="Times New Roman"/>
          <w:sz w:val="32"/>
          <w:szCs w:val="32"/>
        </w:rPr>
        <w:t>50</w:t>
      </w:r>
      <w:r>
        <w:rPr>
          <w:rFonts w:hint="eastAsia" w:ascii="Times New Roman" w:hAnsi="Times New Roman" w:eastAsia="仿宋" w:cs="Times New Roman"/>
          <w:sz w:val="32"/>
          <w:szCs w:val="32"/>
        </w:rPr>
        <w:t>万元以上通用设备</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台（套），单价</w:t>
      </w:r>
      <w:r>
        <w:rPr>
          <w:rFonts w:hint="default" w:ascii="Times New Roman" w:hAnsi="Times New Roman" w:eastAsia="仿宋" w:cs="Times New Roman"/>
          <w:sz w:val="32"/>
          <w:szCs w:val="32"/>
        </w:rPr>
        <w:t>100</w:t>
      </w:r>
      <w:r>
        <w:rPr>
          <w:rFonts w:hint="eastAsia" w:ascii="Times New Roman" w:hAnsi="Times New Roman" w:eastAsia="仿宋" w:cs="Times New Roman"/>
          <w:sz w:val="32"/>
          <w:szCs w:val="32"/>
        </w:rPr>
        <w:t>万元</w:t>
      </w:r>
      <w:r>
        <w:rPr>
          <w:rFonts w:hint="eastAsia" w:eastAsia="仿宋" w:cs="Times New Roman"/>
          <w:sz w:val="32"/>
          <w:szCs w:val="32"/>
          <w:lang w:eastAsia="zh-CN"/>
        </w:rPr>
        <w:t>（</w:t>
      </w:r>
      <w:r>
        <w:rPr>
          <w:rFonts w:hint="eastAsia" w:eastAsia="仿宋" w:cs="Times New Roman"/>
          <w:sz w:val="32"/>
          <w:szCs w:val="32"/>
          <w:lang w:val="en-US" w:eastAsia="zh-CN"/>
        </w:rPr>
        <w:t>含</w:t>
      </w:r>
      <w:r>
        <w:rPr>
          <w:rFonts w:hint="eastAsia" w:eastAsia="仿宋" w:cs="Times New Roman"/>
          <w:sz w:val="32"/>
          <w:szCs w:val="32"/>
          <w:lang w:eastAsia="zh-CN"/>
        </w:rPr>
        <w:t>）</w:t>
      </w:r>
      <w:r>
        <w:rPr>
          <w:rFonts w:hint="eastAsia" w:ascii="Times New Roman" w:hAnsi="Times New Roman" w:eastAsia="仿宋" w:cs="Times New Roman"/>
          <w:sz w:val="32"/>
          <w:szCs w:val="32"/>
        </w:rPr>
        <w:t>以上设备</w:t>
      </w:r>
      <w:r>
        <w:rPr>
          <w:rFonts w:hint="eastAsia" w:eastAsia="仿宋" w:cs="Times New Roman"/>
          <w:sz w:val="32"/>
          <w:szCs w:val="32"/>
          <w:lang w:eastAsia="zh-CN"/>
        </w:rPr>
        <w:t>（</w:t>
      </w:r>
      <w:r>
        <w:rPr>
          <w:rFonts w:hint="eastAsia" w:eastAsia="仿宋" w:cs="Times New Roman"/>
          <w:sz w:val="32"/>
          <w:szCs w:val="32"/>
          <w:lang w:val="en-US" w:eastAsia="zh-CN"/>
        </w:rPr>
        <w:t>不含车辆</w:t>
      </w:r>
      <w:r>
        <w:rPr>
          <w:rFonts w:hint="eastAsia" w:eastAsia="仿宋" w:cs="Times New Roman"/>
          <w:sz w:val="32"/>
          <w:szCs w:val="32"/>
          <w:lang w:eastAsia="zh-CN"/>
        </w:rPr>
        <w:t>）</w:t>
      </w:r>
      <w:r>
        <w:rPr>
          <w:rFonts w:hint="eastAsia" w:eastAsia="仿宋" w:cs="Times New Roman"/>
          <w:sz w:val="32"/>
          <w:szCs w:val="32"/>
          <w:lang w:val="en-US" w:eastAsia="zh-CN"/>
        </w:rPr>
        <w:t>4</w:t>
      </w:r>
      <w:r>
        <w:rPr>
          <w:rFonts w:hint="eastAsia" w:ascii="Times New Roman" w:hAnsi="Times New Roman" w:eastAsia="仿宋" w:cs="Times New Roman"/>
          <w:sz w:val="32"/>
          <w:szCs w:val="32"/>
        </w:rPr>
        <w:t>台（套）。</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lang w:eastAsia="zh-CN"/>
        </w:rPr>
      </w:pPr>
      <w:r>
        <w:rPr>
          <w:rFonts w:hint="eastAsia" w:ascii="楷体" w:hAnsi="楷体" w:eastAsia="楷体" w:cs="楷体"/>
          <w:b w:val="0"/>
          <w:bCs/>
          <w:color w:val="auto"/>
          <w:sz w:val="32"/>
          <w:szCs w:val="32"/>
          <w:highlight w:val="none"/>
        </w:rPr>
        <w:t>（四）预算绩效管理情况</w:t>
      </w:r>
    </w:p>
    <w:p>
      <w:pPr>
        <w:pStyle w:val="2"/>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根据预算绩效管理要求，本单位在2022年度预算编制阶段，组织对现代职业教育质量提升计划资金（中职改善办学条件）、学生资助专项资金、学生资助体系资金3个项目开展了预算事前绩效评估，对10个项目编制了绩效目标，预算执行过程中，选取9个项目开展绩效监控，组织对9个项目开展绩效自评，因现代职业教育质量提升计划资金（中职改善办学条件）项目预算在2022年12月才下达，尚未开展实施结转至2023年使用，无法评价。绩效自评表详见第四部分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2"/>
        </w:numPr>
        <w:spacing w:line="600" w:lineRule="exact"/>
        <w:ind w:firstLine="660" w:firstLineChars="150"/>
        <w:jc w:val="center"/>
        <w:outlineLvl w:val="0"/>
        <w:rPr>
          <w:rStyle w:val="25"/>
          <w:rFonts w:ascii="黑体" w:hAnsi="黑体" w:eastAsia="黑体"/>
          <w:b w:val="0"/>
          <w:color w:val="auto"/>
          <w:highlight w:val="none"/>
        </w:rPr>
      </w:pPr>
      <w:bookmarkStart w:id="70" w:name="_Toc15396613"/>
      <w:bookmarkStart w:id="71" w:name="_Toc15377225"/>
      <w:bookmarkStart w:id="72" w:name="_Toc9024"/>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70"/>
      <w:bookmarkEnd w:id="71"/>
      <w:bookmarkEnd w:id="72"/>
    </w:p>
    <w:p>
      <w:pPr>
        <w:ind w:firstLine="640" w:firstLineChars="200"/>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eastAsia" w:ascii="Times New Roman" w:hAnsi="Times New Roman" w:eastAsia="仿宋" w:cs="Times New Roman"/>
          <w:color w:val="auto"/>
          <w:sz w:val="32"/>
          <w:szCs w:val="32"/>
          <w:highlight w:val="none"/>
        </w:rPr>
        <w:t>财政拨款收入：指</w:t>
      </w:r>
      <w:r>
        <w:rPr>
          <w:rFonts w:hint="eastAsia" w:eastAsia="仿宋" w:cs="Times New Roman"/>
          <w:color w:val="auto"/>
          <w:sz w:val="32"/>
          <w:szCs w:val="32"/>
          <w:highlight w:val="none"/>
          <w:lang w:val="en-US" w:eastAsia="zh-CN"/>
        </w:rPr>
        <w:t>本</w:t>
      </w:r>
      <w:r>
        <w:rPr>
          <w:rFonts w:hint="eastAsia" w:ascii="Times New Roman" w:hAnsi="Times New Roman" w:eastAsia="仿宋" w:cs="Times New Roman"/>
          <w:color w:val="auto"/>
          <w:sz w:val="32"/>
          <w:szCs w:val="32"/>
          <w:highlight w:val="none"/>
        </w:rPr>
        <w:t>单位从同级财政部门取得的财政预算资金。</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rPr>
        <w:t>事业收入：指</w:t>
      </w:r>
      <w:r>
        <w:rPr>
          <w:rFonts w:hint="eastAsia" w:eastAsia="仿宋" w:cs="Times New Roman"/>
          <w:color w:val="auto"/>
          <w:sz w:val="32"/>
          <w:szCs w:val="32"/>
          <w:highlight w:val="none"/>
          <w:lang w:val="en-US" w:eastAsia="zh-CN"/>
        </w:rPr>
        <w:t>本</w:t>
      </w:r>
      <w:r>
        <w:rPr>
          <w:rFonts w:hint="eastAsia" w:ascii="Times New Roman" w:hAnsi="Times New Roman" w:eastAsia="仿宋" w:cs="Times New Roman"/>
          <w:color w:val="auto"/>
          <w:sz w:val="32"/>
          <w:szCs w:val="32"/>
          <w:highlight w:val="none"/>
        </w:rPr>
        <w:t>单位开展专业业务活动及辅助活动取得的收入。</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ascii="仿宋_GB2312" w:eastAsia="仿宋_GB2312"/>
          <w:color w:val="auto"/>
          <w:sz w:val="32"/>
          <w:szCs w:val="32"/>
          <w:highlight w:val="none"/>
        </w:rPr>
      </w:pPr>
      <w:r>
        <w:rPr>
          <w:rFonts w:hint="default"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其他收入：指</w:t>
      </w:r>
      <w:r>
        <w:rPr>
          <w:rFonts w:hint="eastAsia" w:eastAsia="仿宋" w:cs="Times New Roman"/>
          <w:color w:val="auto"/>
          <w:sz w:val="32"/>
          <w:szCs w:val="32"/>
          <w:highlight w:val="none"/>
          <w:lang w:val="en-US" w:eastAsia="zh-CN"/>
        </w:rPr>
        <w:t>本</w:t>
      </w:r>
      <w:r>
        <w:rPr>
          <w:rFonts w:hint="eastAsia" w:ascii="Times New Roman" w:hAnsi="Times New Roman" w:eastAsia="仿宋" w:cs="Times New Roman"/>
          <w:color w:val="auto"/>
          <w:sz w:val="32"/>
          <w:szCs w:val="32"/>
          <w:highlight w:val="none"/>
        </w:rPr>
        <w:t>单位取得的除上述收入以外的各项收入。主要是</w:t>
      </w:r>
      <w:r>
        <w:rPr>
          <w:rFonts w:hint="eastAsia" w:ascii="Times New Roman" w:hAnsi="Times New Roman" w:eastAsia="仿宋" w:cs="Times New Roman"/>
          <w:color w:val="auto"/>
          <w:sz w:val="32"/>
          <w:szCs w:val="32"/>
          <w:highlight w:val="none"/>
          <w:lang w:val="en-US" w:eastAsia="zh-CN"/>
        </w:rPr>
        <w:t>利息收入</w:t>
      </w:r>
      <w:r>
        <w:rPr>
          <w:rFonts w:hint="eastAsia" w:ascii="Times New Roman" w:hAnsi="Times New Roman" w:eastAsia="仿宋" w:cs="Times New Roman"/>
          <w:color w:val="auto"/>
          <w:sz w:val="32"/>
          <w:szCs w:val="32"/>
          <w:highlight w:val="none"/>
        </w:rPr>
        <w:t>等。</w:t>
      </w:r>
      <w:r>
        <w:rPr>
          <w:rFonts w:ascii="仿宋_GB2312" w:eastAsia="仿宋_GB2312"/>
          <w:color w:val="auto"/>
          <w:sz w:val="32"/>
          <w:szCs w:val="32"/>
          <w:highlight w:val="none"/>
        </w:rPr>
        <w:t xml:space="preserve"> </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default" w:ascii="Times New Roman" w:hAnsi="Times New Roman" w:eastAsia="仿宋" w:cs="Times New Roman"/>
          <w:color w:val="auto"/>
          <w:sz w:val="32"/>
          <w:szCs w:val="32"/>
          <w:highlight w:val="none"/>
        </w:rPr>
        <w:t>教</w:t>
      </w:r>
      <w:r>
        <w:rPr>
          <w:rFonts w:hint="default" w:ascii="Times New Roman" w:hAnsi="Times New Roman" w:eastAsia="仿宋" w:cs="Times New Roman"/>
          <w:color w:val="auto"/>
          <w:sz w:val="32"/>
          <w:szCs w:val="32"/>
          <w:highlight w:val="none"/>
          <w:lang w:val="en-US" w:eastAsia="zh-CN"/>
        </w:rPr>
        <w:t>育（类）职业教育（款）中等职业教育（项）：指本单位中等职业教育支出。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rPr>
        <w:t>社会保障和就业（类）</w:t>
      </w:r>
      <w:r>
        <w:rPr>
          <w:rFonts w:hint="default" w:ascii="Times New Roman" w:hAnsi="Times New Roman" w:eastAsia="仿宋" w:cs="Times New Roman"/>
          <w:color w:val="auto"/>
          <w:sz w:val="32"/>
          <w:szCs w:val="32"/>
          <w:highlight w:val="none"/>
          <w:lang w:val="en-US" w:eastAsia="zh-CN"/>
        </w:rPr>
        <w:t>行政事业单位养老支出</w:t>
      </w:r>
      <w:r>
        <w:rPr>
          <w:rFonts w:hint="default" w:ascii="Times New Roman" w:hAnsi="Times New Roman" w:eastAsia="仿宋" w:cs="Times New Roman"/>
          <w:color w:val="auto"/>
          <w:sz w:val="32"/>
          <w:szCs w:val="32"/>
          <w:highlight w:val="none"/>
        </w:rPr>
        <w:t>（款）</w:t>
      </w:r>
      <w:r>
        <w:rPr>
          <w:rFonts w:hint="default" w:ascii="Times New Roman" w:hAnsi="Times New Roman" w:eastAsia="仿宋" w:cs="Times New Roman"/>
          <w:color w:val="auto"/>
          <w:sz w:val="32"/>
          <w:szCs w:val="32"/>
          <w:highlight w:val="none"/>
          <w:lang w:val="en-US" w:eastAsia="zh-CN"/>
        </w:rPr>
        <w:t>事业单位离退休</w:t>
      </w:r>
      <w:r>
        <w:rPr>
          <w:rFonts w:hint="default" w:ascii="Times New Roman" w:hAnsi="Times New Roman" w:eastAsia="仿宋" w:cs="Times New Roman"/>
          <w:color w:val="auto"/>
          <w:sz w:val="32"/>
          <w:szCs w:val="32"/>
          <w:highlight w:val="none"/>
        </w:rPr>
        <w:t>（项）：指</w:t>
      </w:r>
      <w:r>
        <w:rPr>
          <w:rFonts w:hint="eastAsia" w:ascii="Times New Roman" w:hAnsi="Times New Roman" w:eastAsia="仿宋" w:cs="Times New Roman"/>
          <w:color w:val="auto"/>
          <w:sz w:val="32"/>
          <w:szCs w:val="32"/>
          <w:highlight w:val="none"/>
          <w:lang w:val="en-US" w:eastAsia="zh-CN"/>
        </w:rPr>
        <w:t>本</w:t>
      </w:r>
      <w:r>
        <w:rPr>
          <w:rFonts w:hint="default" w:ascii="Times New Roman" w:hAnsi="Times New Roman" w:eastAsia="仿宋" w:cs="Times New Roman"/>
          <w:color w:val="auto"/>
          <w:sz w:val="32"/>
          <w:szCs w:val="32"/>
          <w:highlight w:val="none"/>
          <w:lang w:val="en-US" w:eastAsia="zh-CN"/>
        </w:rPr>
        <w:t>单位开支的离退休经费</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rPr>
        <w:t>.卫生健康（类）行政事业单位医疗（款）事业单位医疗（项）：指</w:t>
      </w:r>
      <w:r>
        <w:rPr>
          <w:rFonts w:hint="default" w:ascii="Times New Roman" w:hAnsi="Times New Roman" w:eastAsia="仿宋" w:cs="Times New Roman"/>
          <w:color w:val="auto"/>
          <w:sz w:val="32"/>
          <w:szCs w:val="32"/>
          <w:highlight w:val="none"/>
        </w:rPr>
        <w:t>本单位给职工缴纳的基本医疗保险经费</w:t>
      </w:r>
      <w:r>
        <w:rPr>
          <w:rFonts w:hint="eastAsia"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资源勘探</w:t>
      </w:r>
      <w:r>
        <w:rPr>
          <w:rFonts w:hint="eastAsia" w:ascii="Times New Roman" w:hAnsi="Times New Roman" w:eastAsia="仿宋" w:cs="Times New Roman"/>
          <w:color w:val="auto"/>
          <w:sz w:val="32"/>
          <w:szCs w:val="32"/>
          <w:highlight w:val="none"/>
          <w:lang w:eastAsia="zh-CN"/>
        </w:rPr>
        <w:t>工业</w:t>
      </w:r>
      <w:r>
        <w:rPr>
          <w:rFonts w:hint="eastAsia" w:ascii="Times New Roman" w:hAnsi="Times New Roman" w:eastAsia="仿宋" w:cs="Times New Roman"/>
          <w:color w:val="auto"/>
          <w:sz w:val="32"/>
          <w:szCs w:val="32"/>
          <w:highlight w:val="none"/>
        </w:rPr>
        <w:t>信息等（类）资源勘探开发（款） 其他资源勘探业支出（项）：指</w:t>
      </w:r>
      <w:r>
        <w:rPr>
          <w:rFonts w:hint="eastAsia" w:ascii="Times New Roman" w:hAnsi="Times New Roman" w:eastAsia="仿宋" w:cs="Times New Roman"/>
          <w:color w:val="auto"/>
          <w:sz w:val="32"/>
          <w:szCs w:val="32"/>
          <w:highlight w:val="none"/>
          <w:lang w:val="en-US" w:eastAsia="zh-CN"/>
        </w:rPr>
        <w:t>本单位其他用于资源勘探业方面的支出</w:t>
      </w:r>
      <w:r>
        <w:rPr>
          <w:rFonts w:hint="eastAsia"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8</w:t>
      </w:r>
      <w:r>
        <w:rPr>
          <w:rFonts w:hint="eastAsia" w:ascii="Times New Roman" w:hAnsi="Times New Roman" w:eastAsia="仿宋"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9</w:t>
      </w:r>
      <w:r>
        <w:rPr>
          <w:rFonts w:hint="eastAsia" w:ascii="Times New Roman" w:hAnsi="Times New Roman" w:eastAsia="仿宋" w:cs="Times New Roman"/>
          <w:color w:val="auto"/>
          <w:sz w:val="32"/>
          <w:szCs w:val="32"/>
          <w:highlight w:val="none"/>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10</w:t>
      </w:r>
      <w:r>
        <w:rPr>
          <w:rFonts w:hint="eastAsia" w:ascii="Times New Roman" w:hAnsi="Times New Roman" w:eastAsia="仿宋" w:cs="Times New Roman"/>
          <w:color w:val="auto"/>
          <w:sz w:val="32"/>
          <w:szCs w:val="32"/>
          <w:highlight w:val="none"/>
        </w:rPr>
        <w:t>.“三公”经费：指</w:t>
      </w:r>
      <w:r>
        <w:rPr>
          <w:rFonts w:hint="eastAsia" w:ascii="Times New Roman" w:hAnsi="Times New Roman" w:eastAsia="仿宋" w:cs="Times New Roman"/>
          <w:color w:val="auto"/>
          <w:sz w:val="32"/>
          <w:szCs w:val="32"/>
          <w:highlight w:val="none"/>
          <w:lang w:eastAsia="zh-CN"/>
        </w:rPr>
        <w:t>单位</w:t>
      </w:r>
      <w:r>
        <w:rPr>
          <w:rFonts w:hint="eastAsia" w:ascii="Times New Roman" w:hAnsi="Times New Roman" w:eastAsia="仿宋"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kinsoku/>
        <w:wordWrap/>
        <w:overflowPunct/>
        <w:topLinePunct w:val="0"/>
        <w:bidi w:val="0"/>
        <w:snapToGrid/>
        <w:spacing w:line="590" w:lineRule="exact"/>
        <w:ind w:firstLine="640" w:firstLineChars="200"/>
        <w:textAlignment w:val="auto"/>
        <w:rPr>
          <w:rFonts w:ascii="仿宋_GB2312" w:eastAsia="仿宋_GB2312" w:cs="黑体"/>
          <w:color w:val="auto"/>
          <w:sz w:val="32"/>
          <w:szCs w:val="32"/>
          <w:highlight w:val="none"/>
        </w:rPr>
      </w:pPr>
    </w:p>
    <w:p>
      <w:pPr>
        <w:keepNext w:val="0"/>
        <w:keepLines w:val="0"/>
        <w:pageBreakBefore w:val="0"/>
        <w:widowControl w:val="0"/>
        <w:kinsoku/>
        <w:wordWrap/>
        <w:overflowPunct/>
        <w:topLinePunct w:val="0"/>
        <w:bidi w:val="0"/>
        <w:snapToGrid/>
        <w:spacing w:line="590" w:lineRule="exact"/>
        <w:jc w:val="center"/>
        <w:textAlignment w:val="auto"/>
        <w:outlineLvl w:val="0"/>
        <w:rPr>
          <w:rFonts w:ascii="宋体"/>
          <w:b/>
          <w:color w:val="auto"/>
          <w:sz w:val="44"/>
          <w:szCs w:val="44"/>
          <w:highlight w:val="none"/>
        </w:rPr>
        <w:sectPr>
          <w:footerReference r:id="rId8" w:type="first"/>
          <w:footerReference r:id="rId7" w:type="default"/>
          <w:pgSz w:w="11906" w:h="16838"/>
          <w:pgMar w:top="1587" w:right="1474" w:bottom="1474" w:left="1587" w:header="851" w:footer="992" w:gutter="0"/>
          <w:pgNumType w:fmt="decimal" w:start="3"/>
          <w:cols w:space="425" w:num="1"/>
          <w:docGrid w:type="lines" w:linePitch="312" w:charSpace="0"/>
        </w:sectPr>
      </w:pPr>
      <w:bookmarkStart w:id="73" w:name="_Toc15377226"/>
      <w:r>
        <w:rPr>
          <w:rFonts w:ascii="宋体"/>
          <w:b/>
          <w:color w:val="auto"/>
          <w:sz w:val="44"/>
          <w:szCs w:val="44"/>
          <w:highlight w:val="none"/>
        </w:rPr>
        <w:br w:type="page"/>
      </w:r>
      <w:bookmarkStart w:id="74" w:name="_Toc17036"/>
      <w:bookmarkStart w:id="75" w:name="_Toc31781"/>
      <w:bookmarkStart w:id="76" w:name="_Toc15396614"/>
      <w:bookmarkStart w:id="77" w:name="_Toc15396618"/>
    </w:p>
    <w:p>
      <w:pPr>
        <w:keepNext w:val="0"/>
        <w:keepLines w:val="0"/>
        <w:pageBreakBefore w:val="0"/>
        <w:widowControl w:val="0"/>
        <w:kinsoku/>
        <w:wordWrap/>
        <w:overflowPunct/>
        <w:topLinePunct w:val="0"/>
        <w:bidi w:val="0"/>
        <w:snapToGrid/>
        <w:spacing w:line="590" w:lineRule="exact"/>
        <w:jc w:val="center"/>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74"/>
      <w:bookmarkEnd w:id="75"/>
      <w:bookmarkEnd w:id="76"/>
    </w:p>
    <w:tbl>
      <w:tblPr>
        <w:tblStyle w:val="13"/>
        <w:tblpPr w:leftFromText="180" w:rightFromText="180" w:vertAnchor="text" w:horzAnchor="page" w:tblpX="1355" w:tblpY="227"/>
        <w:tblOverlap w:val="never"/>
        <w:tblW w:w="9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071"/>
        <w:gridCol w:w="941"/>
        <w:gridCol w:w="1587"/>
        <w:gridCol w:w="600"/>
        <w:gridCol w:w="666"/>
        <w:gridCol w:w="587"/>
        <w:gridCol w:w="1013"/>
        <w:gridCol w:w="590"/>
        <w:gridCol w:w="576"/>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51000021T000000170782-学生资助专项资金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四川省核工业地质局部门</w:t>
            </w:r>
          </w:p>
        </w:tc>
        <w:tc>
          <w:tcPr>
            <w:tcW w:w="101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核工业成都机电学校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积极帮助家庭经济困难学生更好</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完成学业，激励中职学生勤奋学习。努力进取，提升中职教育吸引力。免学费补助弥补了学校在设备购置、信息网络及软件购置更新等方面的不足，改善学校实习实训场地，提升了学校的办学条件。</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2022年度落实了国家资助政策，完成了国家助学金发放932人次，国家奖学金资助发放3人次，积极帮助家庭经济困难学生更好</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完成学业。保障了学校对校园设施设备的维修维护和正常业务活动开展，提升了学校办学条件。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专项资金包括2021年结转28.79万元、2022年4月提前下达资金安排576.00万元，5月按照学生实际人数进行结算,追加115.2万元，实际预算安排719.99万元。在实际工作开展过程中2022年年末政采结余12.26万元，助学金结转至2023年11.25万元，2022年预算执行696.48万元，其中：用于学生助学金58.05万元，用于保障学校运转638.43万元包括学校购置新增专用设备、办公设备、信息网络及软件；维修维护学校设施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604.79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719.99</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696.48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根据《关于下达2022年部分学生资助补助经费预算的通知 》川财教（2021）214号 预算576.00万元，  《关于下达2022年学生资助补助经费预算的通知》（川财教〔2022〕43号）追加115.20万元。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604.79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719.99</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696.48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1-2年级在校学生受助比列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19.85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教室、实训室、会议室、办公室改造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教学实训场地整体改造装修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4603.19</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楼顶运动场改造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质量合格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助学金按规定及时发放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83.8</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因学生银行资助卡受疫情影响未能办理完成，部分学生资助发放结转至2023年发放。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因学生银行资助卡受疫情影响未能办理完成，部分学生资助发放结转至2023年发放。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职业教育受益学生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3577</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完成当年招生计划，保障学校持续发展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为师生创造良好的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项目资金安排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604.79</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696.48</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2022年5月根据学生实际人数进行补助结算，追加预算115.20万元。在实际使用过程中涉及政采结余12.26万元，助学金结转至2023年11.25万元。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90.5分，项目的实施改善了学校实习实训场地的软、硬件条件，进一步配套了专用设备、信息网络及软件，提高了教育教学条件，保障了学校对校园设施设备的维护和正常活动的开展。同时，帮助了家庭经济困难学生更好地完成学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1、受疫情影响，未能积极协调处理问题，推进预算执行2、部分指标编写不够科学。比如效益指标，学校对学生的培养无法通过短时间的量化来完整体现效果，影响客观评价。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63" w:type="dxa"/>
            <w:gridSpan w:val="10"/>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预算执行过程中积极开展项目绩效跟踪，将跟踪结果与加强预算执行、实施预算调整、优化项目管理结合起来，不断调整完善绩效目标，较好地完成了目标任务。2、强化绩效管理责任，明确项目实施部门和项目负责人在实现预算绩效目标，收集和提供各项项目绩效管理效果的资料的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项目负责人：余成辉</w:t>
            </w:r>
          </w:p>
        </w:tc>
        <w:tc>
          <w:tcPr>
            <w:tcW w:w="5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财务负责人：陈静</w:t>
            </w:r>
          </w:p>
        </w:tc>
      </w:tr>
    </w:tbl>
    <w:p>
      <w:pPr>
        <w:keepNext w:val="0"/>
        <w:keepLines w:val="0"/>
        <w:widowControl/>
        <w:suppressLineNumbers w:val="0"/>
        <w:jc w:val="left"/>
      </w:pPr>
    </w:p>
    <w:tbl>
      <w:tblPr>
        <w:tblStyle w:val="13"/>
        <w:tblW w:w="98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102"/>
        <w:gridCol w:w="1129"/>
        <w:gridCol w:w="1324"/>
        <w:gridCol w:w="562"/>
        <w:gridCol w:w="865"/>
        <w:gridCol w:w="440"/>
        <w:gridCol w:w="1174"/>
        <w:gridCol w:w="486"/>
        <w:gridCol w:w="448"/>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51000021T000000170783-学生资助体系资金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四川省核工业地质局部门</w:t>
            </w:r>
          </w:p>
        </w:tc>
        <w:tc>
          <w:tcPr>
            <w:tcW w:w="1614"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核工业成都机电学校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积极帮助家庭困难学生更好</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完成学业，激励中职学生勤奋学习，努力进取，提升中职教育吸引力。免学费补助弥补了学生在信息网络及软件等方面的不足，改善学校的办学条件</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2022年度落实了国家资助政策，完成了国家助学金发放932人次，国家奖学金资助发放3人次，积极帮助家庭经济困难学生更好地完成学业。保障了学校在专用设备购置、信息网络及软件购置更新等方面的经费不足，提升了学校的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学生资助体系资金2022年4月提前下达资金安排211.00万元，5月按照学生实际人数进行结算,追减34..79万元，实际预算安排176.21万元，其中:用于学生助学金15.00万元，用于保障学校运转161.21万元，包括学校购置实习实训材料、专用设备、学生活动的开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176.21</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176.21</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根据《关于下达2022年部分学生资助补助经费预算的通知 》川财教（2021）214号 追加预算211万元，  《关于下达2022年学生资助补助经费预算的通知》（川财教〔2022〕43号）调减34.79万元。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176.21</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176.21</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1-2年级在校学生受助比列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设备、信息化建设质量合格</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助学金按规定及时发放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职业教育受益学生</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3577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完成当年招生计划，保障学校持续发展</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保障学校学生实习实训需要</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44.73</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44.73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保障学校运转</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75.02</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40.23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根据结算减少预算34.79万元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学校日常维护</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20.43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购置设备、信息化建设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55.82</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55.82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结合自评情况，项目自评95分，项目的实施保障了学校的正常运转，专用设备、办公设备、实训材料等的增加提高了教育教学水平，同时，帮助家庭经济困难学生更好地</w:t>
            </w:r>
            <w:bookmarkStart w:id="105" w:name="_GoBack"/>
            <w:bookmarkEnd w:id="105"/>
            <w:r>
              <w:rPr>
                <w:rFonts w:hint="eastAsia" w:ascii="微软雅黑" w:hAnsi="微软雅黑" w:eastAsia="微软雅黑" w:cs="微软雅黑"/>
                <w:i w:val="0"/>
                <w:iCs w:val="0"/>
                <w:color w:val="000000"/>
                <w:kern w:val="0"/>
                <w:sz w:val="16"/>
                <w:szCs w:val="16"/>
                <w:u w:val="none"/>
                <w:lang w:val="en-US" w:eastAsia="zh-CN" w:bidi="ar"/>
              </w:rPr>
              <w:t>完成学业。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部分指标编写不够科学。比如效益指标，学校对学生的培养无法通过短时间的量化来完整体现效果，影响客观评价。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进一步提高绩效目标的编制工作，对绩效考核的各项指标严格进行量化，能充分反映目标服务效果。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项目负责人：余成辉</w:t>
            </w:r>
          </w:p>
        </w:tc>
        <w:tc>
          <w:tcPr>
            <w:tcW w:w="51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财务负责人：陈静</w:t>
            </w:r>
          </w:p>
        </w:tc>
      </w:tr>
    </w:tbl>
    <w:p>
      <w:pPr>
        <w:pStyle w:val="2"/>
        <w:rPr>
          <w:rFonts w:hint="eastAsia"/>
          <w:sz w:val="22"/>
          <w:szCs w:val="20"/>
          <w:lang w:val="en-US" w:eastAsia="zh-CN"/>
        </w:rPr>
      </w:pPr>
    </w:p>
    <w:p>
      <w:pPr>
        <w:keepNext w:val="0"/>
        <w:keepLines w:val="0"/>
        <w:widowControl/>
        <w:suppressLineNumbers w:val="0"/>
        <w:jc w:val="left"/>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160" w:lineRule="exact"/>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bookmarkStart w:id="78" w:name="_Toc2720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73"/>
      <w:bookmarkEnd w:id="77"/>
      <w:bookmarkEnd w:id="78"/>
      <w:bookmarkStart w:id="79" w:name="_Toc15396619"/>
    </w:p>
    <w:p>
      <w:pPr>
        <w:pStyle w:val="4"/>
        <w:rPr>
          <w:rFonts w:ascii="仿宋" w:hAnsi="仿宋" w:eastAsia="仿宋"/>
          <w:color w:val="auto"/>
          <w:highlight w:val="none"/>
        </w:rPr>
      </w:pPr>
      <w:bookmarkStart w:id="80" w:name="_Toc19684"/>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79"/>
      <w:bookmarkEnd w:id="80"/>
    </w:p>
    <w:p>
      <w:pPr>
        <w:pStyle w:val="4"/>
        <w:rPr>
          <w:rFonts w:ascii="仿宋" w:hAnsi="仿宋" w:eastAsia="仿宋"/>
          <w:color w:val="auto"/>
          <w:highlight w:val="none"/>
        </w:rPr>
      </w:pPr>
      <w:bookmarkStart w:id="81" w:name="_Toc30648"/>
      <w:bookmarkStart w:id="82"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81"/>
      <w:bookmarkEnd w:id="82"/>
    </w:p>
    <w:p>
      <w:pPr>
        <w:pStyle w:val="4"/>
        <w:rPr>
          <w:rFonts w:ascii="仿宋" w:hAnsi="仿宋" w:eastAsia="仿宋"/>
          <w:color w:val="auto"/>
          <w:highlight w:val="none"/>
        </w:rPr>
      </w:pPr>
      <w:bookmarkStart w:id="83" w:name="_Toc7990"/>
      <w:bookmarkStart w:id="84"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83"/>
      <w:bookmarkEnd w:id="84"/>
    </w:p>
    <w:p>
      <w:pPr>
        <w:pStyle w:val="4"/>
        <w:rPr>
          <w:rFonts w:ascii="仿宋" w:hAnsi="仿宋" w:eastAsia="仿宋"/>
          <w:b w:val="0"/>
          <w:color w:val="auto"/>
          <w:highlight w:val="none"/>
        </w:rPr>
      </w:pPr>
      <w:bookmarkStart w:id="85" w:name="_Toc15396622"/>
      <w:bookmarkStart w:id="86" w:name="_Toc4350"/>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85"/>
      <w:bookmarkEnd w:id="86"/>
    </w:p>
    <w:p>
      <w:pPr>
        <w:pStyle w:val="4"/>
        <w:rPr>
          <w:rStyle w:val="26"/>
          <w:rFonts w:ascii="仿宋" w:hAnsi="仿宋" w:eastAsia="仿宋"/>
          <w:b w:val="0"/>
          <w:bCs w:val="0"/>
          <w:color w:val="auto"/>
          <w:highlight w:val="none"/>
        </w:rPr>
      </w:pPr>
      <w:bookmarkStart w:id="87" w:name="_Toc15396623"/>
      <w:bookmarkStart w:id="88" w:name="_Toc8785"/>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87"/>
      <w:bookmarkEnd w:id="88"/>
      <w:bookmarkStart w:id="89" w:name="_Toc15396624"/>
    </w:p>
    <w:p>
      <w:pPr>
        <w:pStyle w:val="4"/>
        <w:rPr>
          <w:rFonts w:ascii="仿宋" w:hAnsi="仿宋" w:eastAsia="仿宋"/>
          <w:color w:val="auto"/>
          <w:highlight w:val="none"/>
        </w:rPr>
      </w:pPr>
      <w:bookmarkStart w:id="90" w:name="_Toc7170"/>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89"/>
      <w:bookmarkEnd w:id="90"/>
    </w:p>
    <w:p>
      <w:pPr>
        <w:pStyle w:val="4"/>
        <w:rPr>
          <w:rFonts w:ascii="仿宋" w:hAnsi="仿宋" w:eastAsia="仿宋"/>
          <w:color w:val="auto"/>
          <w:highlight w:val="none"/>
        </w:rPr>
      </w:pPr>
      <w:bookmarkStart w:id="91" w:name="_Toc16609"/>
      <w:bookmarkStart w:id="92"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91"/>
      <w:bookmarkEnd w:id="92"/>
    </w:p>
    <w:p>
      <w:pPr>
        <w:pStyle w:val="4"/>
        <w:rPr>
          <w:rFonts w:ascii="仿宋" w:hAnsi="仿宋" w:eastAsia="仿宋"/>
          <w:color w:val="auto"/>
          <w:highlight w:val="none"/>
        </w:rPr>
      </w:pPr>
      <w:bookmarkStart w:id="93" w:name="_Toc2973"/>
      <w:bookmarkStart w:id="94"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93"/>
      <w:bookmarkEnd w:id="94"/>
    </w:p>
    <w:p>
      <w:pPr>
        <w:pStyle w:val="4"/>
        <w:rPr>
          <w:rFonts w:ascii="仿宋" w:hAnsi="仿宋" w:eastAsia="仿宋"/>
          <w:color w:val="auto"/>
          <w:highlight w:val="none"/>
        </w:rPr>
      </w:pPr>
      <w:bookmarkStart w:id="95" w:name="_Toc15396627"/>
      <w:bookmarkStart w:id="96" w:name="_Toc29133"/>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95"/>
      <w:bookmarkEnd w:id="96"/>
    </w:p>
    <w:p>
      <w:pPr>
        <w:pStyle w:val="4"/>
        <w:rPr>
          <w:rFonts w:ascii="仿宋" w:hAnsi="仿宋" w:eastAsia="仿宋"/>
          <w:color w:val="auto"/>
          <w:highlight w:val="none"/>
        </w:rPr>
      </w:pPr>
      <w:bookmarkStart w:id="97" w:name="_Toc15396628"/>
      <w:bookmarkStart w:id="98" w:name="_Toc21702"/>
      <w:r>
        <w:rPr>
          <w:rStyle w:val="26"/>
          <w:rFonts w:hint="eastAsia" w:ascii="仿宋" w:hAnsi="仿宋" w:eastAsia="仿宋"/>
          <w:b w:val="0"/>
          <w:bCs w:val="0"/>
          <w:color w:val="auto"/>
          <w:highlight w:val="none"/>
        </w:rPr>
        <w:t>十、</w:t>
      </w:r>
      <w:bookmarkEnd w:id="97"/>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98"/>
    </w:p>
    <w:p>
      <w:pPr>
        <w:pStyle w:val="4"/>
        <w:rPr>
          <w:rFonts w:ascii="仿宋" w:hAnsi="仿宋" w:eastAsia="仿宋"/>
          <w:color w:val="auto"/>
          <w:highlight w:val="none"/>
        </w:rPr>
      </w:pPr>
      <w:bookmarkStart w:id="99" w:name="_Toc15396629"/>
      <w:bookmarkStart w:id="100" w:name="_Toc28977"/>
      <w:r>
        <w:rPr>
          <w:rStyle w:val="26"/>
          <w:rFonts w:hint="eastAsia" w:ascii="仿宋" w:hAnsi="仿宋" w:eastAsia="仿宋"/>
          <w:b w:val="0"/>
          <w:bCs w:val="0"/>
          <w:color w:val="auto"/>
          <w:highlight w:val="none"/>
        </w:rPr>
        <w:t>十一、</w:t>
      </w:r>
      <w:bookmarkEnd w:id="99"/>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00"/>
    </w:p>
    <w:p>
      <w:pPr>
        <w:pStyle w:val="4"/>
        <w:rPr>
          <w:rFonts w:ascii="仿宋" w:hAnsi="仿宋" w:eastAsia="仿宋"/>
          <w:color w:val="auto"/>
          <w:highlight w:val="none"/>
        </w:rPr>
      </w:pPr>
      <w:bookmarkStart w:id="101" w:name="_Toc15396630"/>
      <w:bookmarkStart w:id="102" w:name="_Toc31262"/>
      <w:r>
        <w:rPr>
          <w:rStyle w:val="26"/>
          <w:rFonts w:hint="eastAsia" w:ascii="仿宋" w:hAnsi="仿宋" w:eastAsia="仿宋"/>
          <w:b w:val="0"/>
          <w:bCs w:val="0"/>
          <w:color w:val="auto"/>
          <w:highlight w:val="none"/>
        </w:rPr>
        <w:t>十二、</w:t>
      </w:r>
      <w:bookmarkEnd w:id="101"/>
      <w:r>
        <w:rPr>
          <w:rStyle w:val="26"/>
          <w:rFonts w:hint="eastAsia" w:ascii="仿宋" w:hAnsi="仿宋" w:eastAsia="仿宋"/>
          <w:b w:val="0"/>
          <w:bCs w:val="0"/>
          <w:color w:val="auto"/>
          <w:highlight w:val="none"/>
          <w:lang w:eastAsia="zh-CN"/>
        </w:rPr>
        <w:t>国有资本经营预算财政拨款支出决算表</w:t>
      </w:r>
      <w:bookmarkEnd w:id="102"/>
    </w:p>
    <w:p>
      <w:pPr>
        <w:pStyle w:val="4"/>
        <w:rPr>
          <w:rStyle w:val="26"/>
          <w:rFonts w:hint="eastAsia" w:ascii="仿宋" w:hAnsi="仿宋" w:eastAsia="仿宋"/>
          <w:b w:val="0"/>
          <w:bCs w:val="0"/>
          <w:color w:val="auto"/>
          <w:highlight w:val="none"/>
          <w:lang w:eastAsia="zh-CN"/>
        </w:rPr>
      </w:pPr>
      <w:bookmarkStart w:id="103" w:name="_Toc15396631"/>
      <w:bookmarkStart w:id="104" w:name="_Toc31291"/>
      <w:r>
        <w:rPr>
          <w:rStyle w:val="26"/>
          <w:rFonts w:hint="eastAsia" w:ascii="仿宋" w:hAnsi="仿宋" w:eastAsia="仿宋"/>
          <w:b w:val="0"/>
          <w:bCs w:val="0"/>
          <w:color w:val="auto"/>
          <w:highlight w:val="none"/>
        </w:rPr>
        <w:t>十三、</w:t>
      </w:r>
      <w:bookmarkEnd w:id="103"/>
      <w:r>
        <w:rPr>
          <w:rStyle w:val="26"/>
          <w:rFonts w:hint="eastAsia" w:ascii="仿宋" w:hAnsi="仿宋" w:eastAsia="仿宋"/>
          <w:b w:val="0"/>
          <w:bCs w:val="0"/>
          <w:color w:val="auto"/>
          <w:highlight w:val="none"/>
          <w:lang w:eastAsia="zh-CN"/>
        </w:rPr>
        <w:t>财政拨款“三公”经费支出决算表</w:t>
      </w:r>
      <w:bookmarkEnd w:id="104"/>
    </w:p>
    <w:p>
      <w:pPr>
        <w:rPr>
          <w:rFonts w:hint="eastAsia"/>
          <w:lang w:eastAsia="zh-CN"/>
        </w:rPr>
      </w:pPr>
    </w:p>
    <w:sectPr>
      <w:pgSz w:w="11906" w:h="16838"/>
      <w:pgMar w:top="1587" w:right="1474" w:bottom="1474"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8C57B6-9D8F-4954-A6FD-E9C5CBA0C7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E2E2BAB-479B-439E-9653-39152DF13F44}"/>
  </w:font>
  <w:font w:name="仿宋">
    <w:panose1 w:val="02010609060101010101"/>
    <w:charset w:val="86"/>
    <w:family w:val="auto"/>
    <w:pitch w:val="default"/>
    <w:sig w:usb0="800002BF" w:usb1="38CF7CFA" w:usb2="00000016" w:usb3="00000000" w:csb0="00040001" w:csb1="00000000"/>
    <w:embedRegular r:id="rId3" w:fontKey="{A62DA851-C4C8-4EB0-B875-3DDF24FC119E}"/>
  </w:font>
  <w:font w:name="方正小标宋简体">
    <w:panose1 w:val="02000000000000000000"/>
    <w:charset w:val="86"/>
    <w:family w:val="script"/>
    <w:pitch w:val="default"/>
    <w:sig w:usb0="00000001" w:usb1="08000000" w:usb2="00000000" w:usb3="00000000" w:csb0="00040000" w:csb1="00000000"/>
    <w:embedRegular r:id="rId4" w:fontKey="{8F6CC705-775F-4CEF-BB68-6B380AE87D97}"/>
  </w:font>
  <w:font w:name="楷体">
    <w:panose1 w:val="02010609060101010101"/>
    <w:charset w:val="86"/>
    <w:family w:val="auto"/>
    <w:pitch w:val="default"/>
    <w:sig w:usb0="800002BF" w:usb1="38CF7CFA" w:usb2="00000016" w:usb3="00000000" w:csb0="00040001" w:csb1="00000000"/>
    <w:embedRegular r:id="rId5" w:fontKey="{15732654-D533-4F08-B054-33A5A1FDFFDE}"/>
  </w:font>
  <w:font w:name="微软雅黑">
    <w:panose1 w:val="020B0503020204020204"/>
    <w:charset w:val="86"/>
    <w:family w:val="auto"/>
    <w:pitch w:val="default"/>
    <w:sig w:usb0="80000287" w:usb1="2ACF3C50" w:usb2="00000016" w:usb3="00000000" w:csb0="0004001F" w:csb1="00000000"/>
    <w:embedRegular r:id="rId6" w:fontKey="{79F164A0-246C-4B4F-BAB5-C5C8452C80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7244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724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ajorEastAsia" w:hAnsiTheme="majorEastAsia" w:eastAsiaTheme="majorEastAsia" w:cstheme="majorEastAsia"/>
                              <w:sz w:val="28"/>
                              <w:szCs w:val="28"/>
                            </w:rPr>
                            <w:id w:val="-1994781956"/>
                          </w:sdtPr>
                          <w:sdtEndPr>
                            <w:rPr>
                              <w:rFonts w:hint="eastAsia" w:asciiTheme="majorEastAsia" w:hAnsiTheme="majorEastAsia" w:eastAsiaTheme="majorEastAsia" w:cstheme="majorEastAsia"/>
                              <w:sz w:val="28"/>
                              <w:szCs w:val="28"/>
                            </w:rPr>
                          </w:sdtEndPr>
                          <w:sdtContent>
                            <w:p>
                              <w:pPr>
                                <w:pStyle w:val="9"/>
                                <w:jc w:val="cente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sdtContent>
                        </w:sdt>
                        <w:p>
                          <w:pPr>
                            <w:pStyle w:val="2"/>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7.2pt;mso-position-horizontal:outside;mso-position-horizontal-relative:margin;z-index:251659264;mso-width-relative:page;mso-height-relative:page;" filled="f" stroked="f" coordsize="21600,21600" o:gfxdata="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j0OEdQAAAAEAQAADwAAAAAAAAABACAAAAAiAAAAZHJzL2Rvd25yZXYu&#10;eG1sUEsBAhQAFAAAAAgAh07iQKYQ8AY4AgAAZAQAAA4AAAAAAAAAAQAgAAAAIwEAAGRycy9lMm9E&#10;b2MueG1sUEsFBgAAAAAGAAYAWQEAAM0FAAAAAA==&#10;">
              <v:fill on="f" focussize="0,0"/>
              <v:stroke on="f" weight="0.5pt"/>
              <v:imagedata o:title=""/>
              <o:lock v:ext="edit" aspectratio="f"/>
              <v:textbox inset="0mm,0mm,0mm,0mm" style="mso-fit-shape-to-text:t;">
                <w:txbxContent>
                  <w:sdt>
                    <w:sdtPr>
                      <w:rPr>
                        <w:rFonts w:hint="eastAsia" w:asciiTheme="majorEastAsia" w:hAnsiTheme="majorEastAsia" w:eastAsiaTheme="majorEastAsia" w:cstheme="majorEastAsia"/>
                        <w:sz w:val="28"/>
                        <w:szCs w:val="28"/>
                      </w:rPr>
                      <w:id w:val="-1994781956"/>
                    </w:sdtPr>
                    <w:sdtEndPr>
                      <w:rPr>
                        <w:rFonts w:hint="eastAsia" w:asciiTheme="majorEastAsia" w:hAnsiTheme="majorEastAsia" w:eastAsiaTheme="majorEastAsia" w:cstheme="majorEastAsia"/>
                        <w:sz w:val="28"/>
                        <w:szCs w:val="28"/>
                      </w:rPr>
                    </w:sdtEndPr>
                    <w:sdtContent>
                      <w:p>
                        <w:pPr>
                          <w:pStyle w:val="9"/>
                          <w:jc w:val="cente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sdtContent>
                  </w:sdt>
                  <w:p>
                    <w:pPr>
                      <w:pStyle w:val="2"/>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47244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724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ajorEastAsia" w:hAnsiTheme="majorEastAsia" w:eastAsiaTheme="majorEastAsia" w:cstheme="majorEastAsia"/>
                              <w:sz w:val="28"/>
                              <w:szCs w:val="28"/>
                            </w:rPr>
                            <w:id w:val="-1994781956"/>
                          </w:sdtPr>
                          <w:sdtEndPr>
                            <w:rPr>
                              <w:rFonts w:hint="eastAsia" w:asciiTheme="majorEastAsia" w:hAnsiTheme="majorEastAsia" w:eastAsiaTheme="majorEastAsia" w:cstheme="majorEastAsia"/>
                              <w:sz w:val="28"/>
                              <w:szCs w:val="28"/>
                            </w:rPr>
                          </w:sdtEndPr>
                          <w:sdtContent>
                            <w:p>
                              <w:pPr>
                                <w:pStyle w:val="9"/>
                                <w:jc w:val="cente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sdtContent>
                        </w:sdt>
                        <w:p>
                          <w:pPr>
                            <w:pStyle w:val="2"/>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7.2pt;mso-position-horizontal:outside;mso-position-horizontal-relative:margin;z-index:251662336;mso-width-relative:page;mso-height-relative:page;" filled="f" stroked="f" coordsize="21600,21600" o:gfxdata="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j0OEdQAAAAEAQAADwAAAAAAAAABACAAAAAiAAAAZHJzL2Rvd25yZXYu&#10;eG1sUEsBAhQAFAAAAAgAh07iQFyun+A4AgAAZAQAAA4AAAAAAAAAAQAgAAAAIwEAAGRycy9lMm9E&#10;b2MueG1sUEsFBgAAAAAGAAYAWQEAAM0FAAAAAA==&#10;">
              <v:fill on="f" focussize="0,0"/>
              <v:stroke on="f" weight="0.5pt"/>
              <v:imagedata o:title=""/>
              <o:lock v:ext="edit" aspectratio="f"/>
              <v:textbox inset="0mm,0mm,0mm,0mm" style="mso-fit-shape-to-text:t;">
                <w:txbxContent>
                  <w:sdt>
                    <w:sdtPr>
                      <w:rPr>
                        <w:rFonts w:hint="eastAsia" w:asciiTheme="majorEastAsia" w:hAnsiTheme="majorEastAsia" w:eastAsiaTheme="majorEastAsia" w:cstheme="majorEastAsia"/>
                        <w:sz w:val="28"/>
                        <w:szCs w:val="28"/>
                      </w:rPr>
                      <w:id w:val="-1994781956"/>
                    </w:sdtPr>
                    <w:sdtEndPr>
                      <w:rPr>
                        <w:rFonts w:hint="eastAsia" w:asciiTheme="majorEastAsia" w:hAnsiTheme="majorEastAsia" w:eastAsiaTheme="majorEastAsia" w:cstheme="majorEastAsia"/>
                        <w:sz w:val="28"/>
                        <w:szCs w:val="28"/>
                      </w:rPr>
                    </w:sdtEndPr>
                    <w:sdtContent>
                      <w:p>
                        <w:pPr>
                          <w:pStyle w:val="9"/>
                          <w:jc w:val="cente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ZTM0OTI1Yjk2NmUzYTkwM2E5YWEyMWNkZjY0Zm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7A6B8D"/>
    <w:rsid w:val="02D037B2"/>
    <w:rsid w:val="03152591"/>
    <w:rsid w:val="036708F0"/>
    <w:rsid w:val="04842AA6"/>
    <w:rsid w:val="060F45F1"/>
    <w:rsid w:val="065D7545"/>
    <w:rsid w:val="09A25D7E"/>
    <w:rsid w:val="0A2032A3"/>
    <w:rsid w:val="0A8A693C"/>
    <w:rsid w:val="0ACA6CB0"/>
    <w:rsid w:val="0ADA51CD"/>
    <w:rsid w:val="0B3D3EA6"/>
    <w:rsid w:val="0B8A37D8"/>
    <w:rsid w:val="0DD00B0A"/>
    <w:rsid w:val="0DD10416"/>
    <w:rsid w:val="0DFA0E1D"/>
    <w:rsid w:val="0EA56AD9"/>
    <w:rsid w:val="0F933B9D"/>
    <w:rsid w:val="1066305F"/>
    <w:rsid w:val="10C055FF"/>
    <w:rsid w:val="10D8525D"/>
    <w:rsid w:val="10FB3695"/>
    <w:rsid w:val="1102722C"/>
    <w:rsid w:val="11184A9A"/>
    <w:rsid w:val="118107EC"/>
    <w:rsid w:val="11DD6519"/>
    <w:rsid w:val="12E52961"/>
    <w:rsid w:val="130354DD"/>
    <w:rsid w:val="14643D5A"/>
    <w:rsid w:val="15B824D1"/>
    <w:rsid w:val="15F11309"/>
    <w:rsid w:val="15FF01DE"/>
    <w:rsid w:val="16BB723D"/>
    <w:rsid w:val="17183454"/>
    <w:rsid w:val="17A960C8"/>
    <w:rsid w:val="18015F3F"/>
    <w:rsid w:val="182C4B8E"/>
    <w:rsid w:val="18707171"/>
    <w:rsid w:val="18AE1305"/>
    <w:rsid w:val="18E40BD9"/>
    <w:rsid w:val="19CF1001"/>
    <w:rsid w:val="1BE8440E"/>
    <w:rsid w:val="1D155CEE"/>
    <w:rsid w:val="1D192C25"/>
    <w:rsid w:val="1D554B87"/>
    <w:rsid w:val="1D717E8E"/>
    <w:rsid w:val="206F2237"/>
    <w:rsid w:val="20AA6F98"/>
    <w:rsid w:val="20F57F95"/>
    <w:rsid w:val="21AB6E4D"/>
    <w:rsid w:val="21D50045"/>
    <w:rsid w:val="228D26CE"/>
    <w:rsid w:val="22CA531D"/>
    <w:rsid w:val="22EB7BD8"/>
    <w:rsid w:val="22F4274D"/>
    <w:rsid w:val="231B23CF"/>
    <w:rsid w:val="240371BF"/>
    <w:rsid w:val="24417C14"/>
    <w:rsid w:val="24FD7FDE"/>
    <w:rsid w:val="251E0098"/>
    <w:rsid w:val="25711CC6"/>
    <w:rsid w:val="25A20B86"/>
    <w:rsid w:val="25C741E6"/>
    <w:rsid w:val="26C33638"/>
    <w:rsid w:val="27842671"/>
    <w:rsid w:val="28335AC5"/>
    <w:rsid w:val="287073FA"/>
    <w:rsid w:val="28F72F97"/>
    <w:rsid w:val="29FD04D3"/>
    <w:rsid w:val="2A852422"/>
    <w:rsid w:val="2ABE7A3E"/>
    <w:rsid w:val="2C071743"/>
    <w:rsid w:val="2CA234A8"/>
    <w:rsid w:val="2E570E39"/>
    <w:rsid w:val="2EFA178C"/>
    <w:rsid w:val="30B46D73"/>
    <w:rsid w:val="319F7F4E"/>
    <w:rsid w:val="31AF6348"/>
    <w:rsid w:val="322A618B"/>
    <w:rsid w:val="32C03F2A"/>
    <w:rsid w:val="32D00AE0"/>
    <w:rsid w:val="3381002D"/>
    <w:rsid w:val="339047EE"/>
    <w:rsid w:val="34C401D1"/>
    <w:rsid w:val="35DD75FE"/>
    <w:rsid w:val="360715E2"/>
    <w:rsid w:val="37164F30"/>
    <w:rsid w:val="37490E61"/>
    <w:rsid w:val="375A0120"/>
    <w:rsid w:val="382625EB"/>
    <w:rsid w:val="383D272C"/>
    <w:rsid w:val="39AE70AB"/>
    <w:rsid w:val="3B9D177C"/>
    <w:rsid w:val="3C0C0783"/>
    <w:rsid w:val="3C8474BE"/>
    <w:rsid w:val="3C956019"/>
    <w:rsid w:val="3CCD271D"/>
    <w:rsid w:val="3D0575D8"/>
    <w:rsid w:val="3F56236D"/>
    <w:rsid w:val="3F9F3A96"/>
    <w:rsid w:val="40657565"/>
    <w:rsid w:val="408B1BF3"/>
    <w:rsid w:val="427B20EB"/>
    <w:rsid w:val="430A1DED"/>
    <w:rsid w:val="4404683C"/>
    <w:rsid w:val="44BF2763"/>
    <w:rsid w:val="4537679D"/>
    <w:rsid w:val="467A1037"/>
    <w:rsid w:val="46C10A14"/>
    <w:rsid w:val="47F941DE"/>
    <w:rsid w:val="48BF60AB"/>
    <w:rsid w:val="49107A31"/>
    <w:rsid w:val="493C27E9"/>
    <w:rsid w:val="496F39ED"/>
    <w:rsid w:val="497F7EE1"/>
    <w:rsid w:val="49FF41D3"/>
    <w:rsid w:val="4BE068DB"/>
    <w:rsid w:val="4BF6002B"/>
    <w:rsid w:val="4C420FBC"/>
    <w:rsid w:val="4CB6269D"/>
    <w:rsid w:val="4CCF2FDC"/>
    <w:rsid w:val="4D834C75"/>
    <w:rsid w:val="4D8E1907"/>
    <w:rsid w:val="4DF708FC"/>
    <w:rsid w:val="4ECE2238"/>
    <w:rsid w:val="508153F5"/>
    <w:rsid w:val="51DB4B86"/>
    <w:rsid w:val="53605111"/>
    <w:rsid w:val="53C27B7A"/>
    <w:rsid w:val="541D1AE4"/>
    <w:rsid w:val="54413194"/>
    <w:rsid w:val="544D5895"/>
    <w:rsid w:val="54530666"/>
    <w:rsid w:val="54634913"/>
    <w:rsid w:val="546D3A7B"/>
    <w:rsid w:val="55333C3E"/>
    <w:rsid w:val="5B3B68B4"/>
    <w:rsid w:val="5B933C31"/>
    <w:rsid w:val="5BA440C7"/>
    <w:rsid w:val="5C14118E"/>
    <w:rsid w:val="5CA6305E"/>
    <w:rsid w:val="5CB04D5A"/>
    <w:rsid w:val="5CE426EA"/>
    <w:rsid w:val="5D3F048D"/>
    <w:rsid w:val="5DD76917"/>
    <w:rsid w:val="5E0D5851"/>
    <w:rsid w:val="5EFC4888"/>
    <w:rsid w:val="5FFD5093"/>
    <w:rsid w:val="60387677"/>
    <w:rsid w:val="608E59B3"/>
    <w:rsid w:val="60E816CC"/>
    <w:rsid w:val="61C3168D"/>
    <w:rsid w:val="62682CA5"/>
    <w:rsid w:val="636429FB"/>
    <w:rsid w:val="63BF5E84"/>
    <w:rsid w:val="63FD3BBB"/>
    <w:rsid w:val="644A41F7"/>
    <w:rsid w:val="64C71494"/>
    <w:rsid w:val="64CA39A1"/>
    <w:rsid w:val="65C25218"/>
    <w:rsid w:val="66A04051"/>
    <w:rsid w:val="66A15D14"/>
    <w:rsid w:val="66BB6DD6"/>
    <w:rsid w:val="68C83A2C"/>
    <w:rsid w:val="69630141"/>
    <w:rsid w:val="69630ADE"/>
    <w:rsid w:val="6B2F7D93"/>
    <w:rsid w:val="6C0609D2"/>
    <w:rsid w:val="6C325C6D"/>
    <w:rsid w:val="6C3A69EF"/>
    <w:rsid w:val="6C4A05C8"/>
    <w:rsid w:val="6D394EF9"/>
    <w:rsid w:val="6D3B1A89"/>
    <w:rsid w:val="6D747346"/>
    <w:rsid w:val="6F26325B"/>
    <w:rsid w:val="6F27506E"/>
    <w:rsid w:val="700C73C2"/>
    <w:rsid w:val="70891CF3"/>
    <w:rsid w:val="71BF4EC2"/>
    <w:rsid w:val="72734D90"/>
    <w:rsid w:val="73290A7C"/>
    <w:rsid w:val="733E6DC5"/>
    <w:rsid w:val="73ED5DA0"/>
    <w:rsid w:val="74074216"/>
    <w:rsid w:val="7412278C"/>
    <w:rsid w:val="78E035E6"/>
    <w:rsid w:val="79C478F8"/>
    <w:rsid w:val="79E7B28D"/>
    <w:rsid w:val="7B0071BB"/>
    <w:rsid w:val="7B2B6BEB"/>
    <w:rsid w:val="7D4216AA"/>
    <w:rsid w:val="7D494CE4"/>
    <w:rsid w:val="7D871368"/>
    <w:rsid w:val="7E61240B"/>
    <w:rsid w:val="7E99773C"/>
    <w:rsid w:val="7EDB42CD"/>
    <w:rsid w:val="7F695E91"/>
    <w:rsid w:val="7F9E360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4132.13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4132.13</c:v>
                </c:pt>
                <c:pt idx="1">
                  <c:v>4132.13</c:v>
                </c:pt>
              </c:numCache>
            </c:numRef>
          </c:val>
        </c:ser>
        <c:ser>
          <c:idx val="1"/>
          <c:order val="1"/>
          <c:tx>
            <c:strRef>
              <c:f>Sheet1!$C$1</c:f>
              <c:strCache>
                <c:ptCount val="1"/>
                <c:pt idx="0">
                  <c:v>2022年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38</a:t>
                    </a:r>
                    <a:r>
                      <a:rPr lang="en-US" altLang="zh-CN"/>
                      <a:t>72.02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3872.02</c:v>
                </c:pt>
                <c:pt idx="1">
                  <c:v>3872.02</c:v>
                </c:pt>
              </c:numCache>
            </c:numRef>
          </c:val>
        </c:ser>
        <c:dLbls>
          <c:showLegendKey val="0"/>
          <c:showVal val="1"/>
          <c:showCatName val="0"/>
          <c:showSerName val="0"/>
          <c:showPercent val="0"/>
          <c:showBubbleSize val="0"/>
        </c:dLbls>
        <c:gapWidth val="219"/>
        <c:overlap val="-27"/>
        <c:axId val="953957335"/>
        <c:axId val="276344117"/>
      </c:barChart>
      <c:catAx>
        <c:axId val="9539573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344117"/>
        <c:crosses val="autoZero"/>
        <c:auto val="1"/>
        <c:lblAlgn val="ctr"/>
        <c:lblOffset val="100"/>
        <c:noMultiLvlLbl val="0"/>
      </c:catAx>
      <c:valAx>
        <c:axId val="2763441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39573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0.00%</c:formatCode>
                <c:ptCount val="3"/>
                <c:pt idx="0">
                  <c:v>0.8631</c:v>
                </c:pt>
                <c:pt idx="1">
                  <c:v>0.1356</c:v>
                </c:pt>
                <c:pt idx="2">
                  <c:v>0.0013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0.7746</c:v>
                </c:pt>
                <c:pt idx="1">
                  <c:v>0.2254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Sheet1!$B$2:$C$2</c:f>
              <c:numCache>
                <c:formatCode>#,##0.00_ </c:formatCode>
                <c:ptCount val="2"/>
                <c:pt idx="0">
                  <c:v>3453.58</c:v>
                </c:pt>
                <c:pt idx="1">
                  <c:v>3338.97</c:v>
                </c:pt>
              </c:numCache>
            </c:numRef>
          </c:val>
        </c:ser>
        <c:ser>
          <c:idx val="1"/>
          <c:order val="1"/>
          <c:tx>
            <c:strRef>
              <c:f>Sheet1!$A$3</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Sheet1!$B$3:$C$3</c:f>
              <c:numCache>
                <c:formatCode>#,##0.00_ </c:formatCode>
                <c:ptCount val="2"/>
                <c:pt idx="0">
                  <c:v>3453.58</c:v>
                </c:pt>
                <c:pt idx="1">
                  <c:v>3338.97</c:v>
                </c:pt>
              </c:numCache>
            </c:numRef>
          </c:val>
        </c:ser>
        <c:dLbls>
          <c:showLegendKey val="0"/>
          <c:showVal val="1"/>
          <c:showCatName val="0"/>
          <c:showSerName val="0"/>
          <c:showPercent val="0"/>
          <c:showBubbleSize val="0"/>
        </c:dLbls>
        <c:gapWidth val="219"/>
        <c:overlap val="-27"/>
        <c:axId val="576139733"/>
        <c:axId val="816910481"/>
      </c:barChart>
      <c:catAx>
        <c:axId val="5761397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6910481"/>
        <c:crosses val="autoZero"/>
        <c:auto val="1"/>
        <c:lblAlgn val="ctr"/>
        <c:lblOffset val="100"/>
        <c:noMultiLvlLbl val="0"/>
      </c:catAx>
      <c:valAx>
        <c:axId val="816910481"/>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1397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一般公共预算财政拨款支出</c:v>
                </c:pt>
              </c:strCache>
            </c:strRef>
          </c:cat>
          <c:val>
            <c:numRef>
              <c:f>Sheet1!$B$2:$B$3</c:f>
              <c:numCache>
                <c:formatCode>General</c:formatCode>
                <c:ptCount val="2"/>
                <c:pt idx="0">
                  <c:v>3453.58</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一般公共预算财政拨款支出</c:v>
                </c:pt>
              </c:strCache>
            </c:strRef>
          </c:cat>
          <c:val>
            <c:numRef>
              <c:f>Sheet1!$C$2:$C$3</c:f>
              <c:numCache>
                <c:formatCode>General</c:formatCode>
                <c:ptCount val="2"/>
                <c:pt idx="0">
                  <c:v>3338.97</c:v>
                </c:pt>
              </c:numCache>
            </c:numRef>
          </c:val>
        </c:ser>
        <c:dLbls>
          <c:showLegendKey val="0"/>
          <c:showVal val="1"/>
          <c:showCatName val="0"/>
          <c:showSerName val="0"/>
          <c:showPercent val="0"/>
          <c:showBubbleSize val="0"/>
        </c:dLbls>
        <c:gapWidth val="219"/>
        <c:overlap val="-27"/>
        <c:axId val="673160032"/>
        <c:axId val="362317190"/>
      </c:barChart>
      <c:catAx>
        <c:axId val="6731600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317190"/>
        <c:crosses val="autoZero"/>
        <c:auto val="1"/>
        <c:lblAlgn val="ctr"/>
        <c:lblOffset val="100"/>
        <c:noMultiLvlLbl val="0"/>
      </c:catAx>
      <c:valAx>
        <c:axId val="3623171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1600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662781375318244"/>
                  <c:y val="-0.0004460338345573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650269524009"/>
                  <c:y val="-0.00243997824153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6036639131795"/>
                  <c:y val="0.00556143850837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资源勘探工业信息</c:v>
                </c:pt>
              </c:strCache>
            </c:strRef>
          </c:cat>
          <c:val>
            <c:numRef>
              <c:f>Sheet1!$B$2:$B$5</c:f>
              <c:numCache>
                <c:formatCode>0.00%</c:formatCode>
                <c:ptCount val="4"/>
                <c:pt idx="0">
                  <c:v>0.9777</c:v>
                </c:pt>
                <c:pt idx="1">
                  <c:v>0.0149</c:v>
                </c:pt>
                <c:pt idx="2">
                  <c:v>0.0004</c:v>
                </c:pt>
                <c:pt idx="3">
                  <c:v>0.007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delete val="1"/>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formatCode="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6332</Words>
  <Characters>7276</Characters>
  <Lines>61</Lines>
  <Paragraphs>17</Paragraphs>
  <TotalTime>26</TotalTime>
  <ScaleCrop>false</ScaleCrop>
  <LinksUpToDate>false</LinksUpToDate>
  <CharactersWithSpaces>7407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WPS_1465527941</cp:lastModifiedBy>
  <cp:lastPrinted>2023-07-31T02:35:00Z</cp:lastPrinted>
  <dcterms:modified xsi:type="dcterms:W3CDTF">2023-10-20T08:11:30Z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C513D348E1624DC98C041347EF6A825C_13</vt:lpwstr>
  </property>
</Properties>
</file>