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6945" w14:textId="77777777" w:rsidR="003A4308" w:rsidRDefault="003A4308" w:rsidP="003A4308">
      <w:pPr>
        <w:rPr>
          <w:rFonts w:hint="eastAsia"/>
        </w:rPr>
      </w:pPr>
      <w:r>
        <w:rPr>
          <w:rFonts w:hint="eastAsia"/>
        </w:rPr>
        <w:t>附件</w:t>
      </w:r>
      <w:r>
        <w:rPr>
          <w:rFonts w:hint="eastAsia"/>
        </w:rPr>
        <w:t>1</w:t>
      </w:r>
      <w:r>
        <w:rPr>
          <w:rFonts w:hint="eastAsia"/>
        </w:rPr>
        <w:t>：综合评定（评分）表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1569"/>
        <w:gridCol w:w="1085"/>
        <w:gridCol w:w="5855"/>
      </w:tblGrid>
      <w:tr w:rsidR="003A4308" w14:paraId="02B51DDE" w14:textId="77777777" w:rsidTr="0066612B">
        <w:tc>
          <w:tcPr>
            <w:tcW w:w="795" w:type="dxa"/>
            <w:tcBorders>
              <w:top w:val="single" w:sz="12" w:space="0" w:color="auto"/>
              <w:left w:val="single" w:sz="12" w:space="0" w:color="auto"/>
            </w:tcBorders>
            <w:vAlign w:val="center"/>
          </w:tcPr>
          <w:p w14:paraId="4E064AE4"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序号</w:t>
            </w:r>
          </w:p>
        </w:tc>
        <w:tc>
          <w:tcPr>
            <w:tcW w:w="1569" w:type="dxa"/>
            <w:tcBorders>
              <w:top w:val="single" w:sz="12" w:space="0" w:color="auto"/>
            </w:tcBorders>
            <w:vAlign w:val="center"/>
          </w:tcPr>
          <w:p w14:paraId="6273E9F6"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评审因素及权重100%</w:t>
            </w:r>
          </w:p>
        </w:tc>
        <w:tc>
          <w:tcPr>
            <w:tcW w:w="1085" w:type="dxa"/>
            <w:tcBorders>
              <w:top w:val="single" w:sz="12" w:space="0" w:color="auto"/>
            </w:tcBorders>
            <w:vAlign w:val="center"/>
          </w:tcPr>
          <w:p w14:paraId="13E37A1B"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分值</w:t>
            </w:r>
          </w:p>
        </w:tc>
        <w:tc>
          <w:tcPr>
            <w:tcW w:w="5855" w:type="dxa"/>
            <w:tcBorders>
              <w:top w:val="single" w:sz="12" w:space="0" w:color="auto"/>
              <w:right w:val="single" w:sz="12" w:space="0" w:color="auto"/>
            </w:tcBorders>
            <w:vAlign w:val="center"/>
          </w:tcPr>
          <w:p w14:paraId="18D01B54"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评审标准</w:t>
            </w:r>
          </w:p>
        </w:tc>
      </w:tr>
      <w:tr w:rsidR="003A4308" w14:paraId="66B10365" w14:textId="77777777" w:rsidTr="0066612B">
        <w:tc>
          <w:tcPr>
            <w:tcW w:w="795" w:type="dxa"/>
            <w:tcBorders>
              <w:top w:val="single" w:sz="12" w:space="0" w:color="auto"/>
              <w:left w:val="single" w:sz="12" w:space="0" w:color="auto"/>
            </w:tcBorders>
            <w:vAlign w:val="center"/>
          </w:tcPr>
          <w:p w14:paraId="79477189"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w:t>
            </w:r>
          </w:p>
        </w:tc>
        <w:tc>
          <w:tcPr>
            <w:tcW w:w="1569" w:type="dxa"/>
            <w:tcBorders>
              <w:top w:val="single" w:sz="12" w:space="0" w:color="auto"/>
            </w:tcBorders>
            <w:vAlign w:val="center"/>
          </w:tcPr>
          <w:p w14:paraId="44DB9533" w14:textId="77777777" w:rsidR="003A4308" w:rsidRDefault="003A4308" w:rsidP="0066612B">
            <w:pPr>
              <w:rPr>
                <w:rFonts w:ascii="仿宋" w:eastAsia="仿宋" w:hAnsi="仿宋" w:cs="仿宋_GB2312"/>
                <w:sz w:val="24"/>
                <w:szCs w:val="24"/>
              </w:rPr>
            </w:pPr>
            <w:r>
              <w:rPr>
                <w:rFonts w:ascii="仿宋" w:eastAsia="仿宋" w:hAnsi="仿宋" w:cs="仿宋_GB2312" w:hint="eastAsia"/>
                <w:sz w:val="24"/>
                <w:szCs w:val="24"/>
              </w:rPr>
              <w:t>报价25%</w:t>
            </w:r>
          </w:p>
        </w:tc>
        <w:tc>
          <w:tcPr>
            <w:tcW w:w="1085" w:type="dxa"/>
            <w:tcBorders>
              <w:top w:val="single" w:sz="12" w:space="0" w:color="auto"/>
            </w:tcBorders>
            <w:vAlign w:val="center"/>
          </w:tcPr>
          <w:p w14:paraId="36F79CD2"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25分</w:t>
            </w:r>
          </w:p>
        </w:tc>
        <w:tc>
          <w:tcPr>
            <w:tcW w:w="5855" w:type="dxa"/>
            <w:tcBorders>
              <w:top w:val="single" w:sz="12" w:space="0" w:color="auto"/>
              <w:right w:val="single" w:sz="12" w:space="0" w:color="auto"/>
            </w:tcBorders>
            <w:vAlign w:val="center"/>
          </w:tcPr>
          <w:p w14:paraId="5447EF37"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参照《招标代理服务收费管理暂行办法》（计价格[2002]1980号）的附件《招标代理服务费收费标准》有关规定，比选申请人最高报价限价为100%，报价上浮不得分，每下浮1%得1分。最多得25分。</w:t>
            </w:r>
          </w:p>
        </w:tc>
      </w:tr>
      <w:tr w:rsidR="003A4308" w14:paraId="7B94C969" w14:textId="77777777" w:rsidTr="0066612B">
        <w:tc>
          <w:tcPr>
            <w:tcW w:w="795" w:type="dxa"/>
            <w:tcBorders>
              <w:top w:val="single" w:sz="12" w:space="0" w:color="auto"/>
              <w:left w:val="single" w:sz="12" w:space="0" w:color="auto"/>
            </w:tcBorders>
            <w:vAlign w:val="center"/>
          </w:tcPr>
          <w:p w14:paraId="2FDC218B"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w:t>
            </w:r>
          </w:p>
        </w:tc>
        <w:tc>
          <w:tcPr>
            <w:tcW w:w="1569" w:type="dxa"/>
            <w:tcBorders>
              <w:top w:val="single" w:sz="12" w:space="0" w:color="auto"/>
            </w:tcBorders>
            <w:vAlign w:val="center"/>
          </w:tcPr>
          <w:p w14:paraId="2AFFA1E5"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服务方案</w:t>
            </w:r>
          </w:p>
          <w:p w14:paraId="2BF2A436"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8%</w:t>
            </w:r>
          </w:p>
        </w:tc>
        <w:tc>
          <w:tcPr>
            <w:tcW w:w="1085" w:type="dxa"/>
            <w:tcBorders>
              <w:top w:val="single" w:sz="12" w:space="0" w:color="auto"/>
            </w:tcBorders>
            <w:vAlign w:val="center"/>
          </w:tcPr>
          <w:p w14:paraId="1692732D"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8分</w:t>
            </w:r>
          </w:p>
        </w:tc>
        <w:tc>
          <w:tcPr>
            <w:tcW w:w="5855" w:type="dxa"/>
            <w:tcBorders>
              <w:top w:val="single" w:sz="12" w:space="0" w:color="auto"/>
              <w:right w:val="single" w:sz="12" w:space="0" w:color="auto"/>
            </w:tcBorders>
            <w:vAlign w:val="center"/>
          </w:tcPr>
          <w:p w14:paraId="0B594ABC"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比选申请人针对学院采购项目实施方案：包括但不限于①标准化、规范化采购代理程序的需求，②专业化编制采购文件需求③采购信息公开公布的及时性、准确性的需求④全面组织项目开展，推进招投标活动各项流程的需要⑤符合需求的专家资源库的需求⑥法律法规认识及保障⑦采购方式适用范围⑧代理项目的组织实施工作方案；以上内容完整、明确、详尽、合理可行的得8分。每缺一项扣1分，每有一项描述不合理、不完备、不清晰、不符合实际扣0.5分，扣完为止。</w:t>
            </w:r>
          </w:p>
        </w:tc>
      </w:tr>
      <w:tr w:rsidR="003A4308" w14:paraId="2963B673" w14:textId="77777777" w:rsidTr="0066612B">
        <w:tc>
          <w:tcPr>
            <w:tcW w:w="795" w:type="dxa"/>
            <w:tcBorders>
              <w:left w:val="single" w:sz="12" w:space="0" w:color="auto"/>
            </w:tcBorders>
            <w:vAlign w:val="center"/>
          </w:tcPr>
          <w:p w14:paraId="15FFCD6A"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3</w:t>
            </w:r>
          </w:p>
        </w:tc>
        <w:tc>
          <w:tcPr>
            <w:tcW w:w="1569" w:type="dxa"/>
            <w:vAlign w:val="center"/>
          </w:tcPr>
          <w:p w14:paraId="11781030"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人员组织</w:t>
            </w:r>
          </w:p>
          <w:p w14:paraId="4611A926"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配置36%</w:t>
            </w:r>
          </w:p>
        </w:tc>
        <w:tc>
          <w:tcPr>
            <w:tcW w:w="1085" w:type="dxa"/>
            <w:vAlign w:val="center"/>
          </w:tcPr>
          <w:p w14:paraId="2E92FAFC"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36分</w:t>
            </w:r>
          </w:p>
        </w:tc>
        <w:tc>
          <w:tcPr>
            <w:tcW w:w="5855" w:type="dxa"/>
            <w:tcBorders>
              <w:right w:val="single" w:sz="12" w:space="0" w:color="auto"/>
            </w:tcBorders>
            <w:vAlign w:val="center"/>
          </w:tcPr>
          <w:p w14:paraId="57B369C4"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1.比选申请人为本项目配置的项目负责人（1人）：</w:t>
            </w:r>
          </w:p>
          <w:p w14:paraId="18ED6457" w14:textId="77777777" w:rsidR="003A4308" w:rsidRDefault="003A4308" w:rsidP="0066612B">
            <w:pPr>
              <w:numPr>
                <w:ilvl w:val="0"/>
                <w:numId w:val="1"/>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具有政府采购代理服务从业经验，6年（含）及以上从业经验的得5分，3（含）-6年（不含）从业经验的得3分；本项最多得5分；</w:t>
            </w:r>
          </w:p>
          <w:p w14:paraId="662F12CD" w14:textId="77777777" w:rsidR="003A4308" w:rsidRDefault="003A4308" w:rsidP="0066612B">
            <w:pPr>
              <w:numPr>
                <w:ilvl w:val="0"/>
                <w:numId w:val="1"/>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具有四川省政府采购评审专家资格证书得4分；</w:t>
            </w:r>
          </w:p>
          <w:p w14:paraId="36F14154" w14:textId="77777777" w:rsidR="003A4308" w:rsidRDefault="003A4308" w:rsidP="0066612B">
            <w:pPr>
              <w:numPr>
                <w:ilvl w:val="0"/>
                <w:numId w:val="1"/>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lang w:val="en"/>
              </w:rPr>
              <w:t>具有招标采购</w:t>
            </w:r>
            <w:proofErr w:type="gramStart"/>
            <w:r>
              <w:rPr>
                <w:rFonts w:ascii="仿宋" w:eastAsia="仿宋" w:hAnsi="仿宋" w:cs="仿宋_GB2312" w:hint="eastAsia"/>
                <w:sz w:val="24"/>
                <w:szCs w:val="24"/>
                <w:lang w:val="en"/>
              </w:rPr>
              <w:t>师高级</w:t>
            </w:r>
            <w:proofErr w:type="gramEnd"/>
            <w:r>
              <w:rPr>
                <w:rFonts w:ascii="仿宋" w:eastAsia="仿宋" w:hAnsi="仿宋" w:cs="仿宋_GB2312" w:hint="eastAsia"/>
                <w:sz w:val="24"/>
                <w:szCs w:val="24"/>
              </w:rPr>
              <w:t>及以上</w:t>
            </w:r>
            <w:r>
              <w:rPr>
                <w:rFonts w:ascii="仿宋" w:eastAsia="仿宋" w:hAnsi="仿宋" w:cs="仿宋_GB2312" w:hint="eastAsia"/>
                <w:sz w:val="24"/>
                <w:szCs w:val="24"/>
                <w:lang w:val="en"/>
              </w:rPr>
              <w:t>证书的</w:t>
            </w:r>
            <w:r>
              <w:rPr>
                <w:rFonts w:ascii="仿宋" w:eastAsia="仿宋" w:hAnsi="仿宋" w:cs="仿宋_GB2312" w:hint="eastAsia"/>
                <w:sz w:val="24"/>
                <w:szCs w:val="24"/>
              </w:rPr>
              <w:t>得4分；</w:t>
            </w:r>
          </w:p>
          <w:p w14:paraId="6063FAD9" w14:textId="77777777" w:rsidR="003A4308" w:rsidRDefault="003A4308" w:rsidP="0066612B">
            <w:pPr>
              <w:numPr>
                <w:ilvl w:val="0"/>
                <w:numId w:val="1"/>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具有四川省政府采购代理机构专职人员培训证明得2分；</w:t>
            </w:r>
          </w:p>
          <w:p w14:paraId="769B2DAC" w14:textId="77777777" w:rsidR="003A4308" w:rsidRDefault="003A4308" w:rsidP="0066612B">
            <w:pPr>
              <w:numPr>
                <w:ilvl w:val="0"/>
                <w:numId w:val="1"/>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具有四川省招标从业人员证书的得2分。</w:t>
            </w:r>
          </w:p>
          <w:p w14:paraId="3A340D54"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本项最多得17分。</w:t>
            </w:r>
          </w:p>
          <w:p w14:paraId="79F03471"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2.比选申请人为本项目配置的项目其他人员：</w:t>
            </w:r>
          </w:p>
          <w:p w14:paraId="0F18C698" w14:textId="77777777" w:rsidR="003A4308" w:rsidRDefault="003A4308" w:rsidP="0066612B">
            <w:pPr>
              <w:numPr>
                <w:ilvl w:val="0"/>
                <w:numId w:val="2"/>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具有政府采购代理服务从业经验的，每提供1名3年（含）及以上从业经验的得2分，每提供1名1（含）-3年（不含）从业经验的得1分，本项最多得4分；</w:t>
            </w:r>
          </w:p>
          <w:p w14:paraId="44876C4B" w14:textId="77777777" w:rsidR="003A4308" w:rsidRDefault="003A4308" w:rsidP="0066612B">
            <w:pPr>
              <w:numPr>
                <w:ilvl w:val="0"/>
                <w:numId w:val="2"/>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具有政府采购代理机构专职人员继续教育培训合格证明的，每提供1名得2分，本项最多得4分；</w:t>
            </w:r>
          </w:p>
          <w:p w14:paraId="1A524022" w14:textId="77777777" w:rsidR="003A4308" w:rsidRDefault="003A4308" w:rsidP="0066612B">
            <w:pPr>
              <w:numPr>
                <w:ilvl w:val="0"/>
                <w:numId w:val="2"/>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具有招标采购</w:t>
            </w:r>
            <w:proofErr w:type="gramStart"/>
            <w:r>
              <w:rPr>
                <w:rFonts w:ascii="仿宋" w:eastAsia="仿宋" w:hAnsi="仿宋" w:cs="仿宋_GB2312" w:hint="eastAsia"/>
                <w:sz w:val="24"/>
                <w:szCs w:val="24"/>
              </w:rPr>
              <w:t>师高级</w:t>
            </w:r>
            <w:proofErr w:type="gramEnd"/>
            <w:r>
              <w:rPr>
                <w:rFonts w:ascii="仿宋" w:eastAsia="仿宋" w:hAnsi="仿宋" w:cs="仿宋_GB2312" w:hint="eastAsia"/>
                <w:sz w:val="24"/>
                <w:szCs w:val="24"/>
              </w:rPr>
              <w:t>证书的，每提供1名得4分，本项最多得4分；</w:t>
            </w:r>
          </w:p>
          <w:p w14:paraId="60730562" w14:textId="77777777" w:rsidR="003A4308" w:rsidRDefault="003A4308" w:rsidP="0066612B">
            <w:pPr>
              <w:numPr>
                <w:ilvl w:val="0"/>
                <w:numId w:val="2"/>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lang w:val="en"/>
              </w:rPr>
              <w:t>具有招投标内控管理师中级及以上资格的，</w:t>
            </w:r>
            <w:r>
              <w:rPr>
                <w:rFonts w:ascii="仿宋" w:eastAsia="仿宋" w:hAnsi="仿宋" w:cs="仿宋_GB2312" w:hint="eastAsia"/>
                <w:sz w:val="24"/>
                <w:szCs w:val="24"/>
              </w:rPr>
              <w:t>每提供1名得3分，本项最多得3分；</w:t>
            </w:r>
          </w:p>
          <w:p w14:paraId="37A260CF" w14:textId="77777777" w:rsidR="003A4308" w:rsidRDefault="003A4308" w:rsidP="0066612B">
            <w:pPr>
              <w:numPr>
                <w:ilvl w:val="0"/>
                <w:numId w:val="2"/>
              </w:numPr>
              <w:ind w:firstLineChars="200" w:firstLine="480"/>
              <w:rPr>
                <w:rFonts w:ascii="仿宋" w:eastAsia="仿宋" w:hAnsi="仿宋" w:cs="仿宋_GB2312" w:hint="eastAsia"/>
                <w:sz w:val="24"/>
                <w:szCs w:val="24"/>
              </w:rPr>
            </w:pPr>
            <w:r>
              <w:rPr>
                <w:rFonts w:ascii="仿宋" w:eastAsia="仿宋" w:hAnsi="仿宋" w:cs="仿宋_GB2312" w:hint="eastAsia"/>
                <w:sz w:val="24"/>
                <w:szCs w:val="24"/>
              </w:rPr>
              <w:t>每提供1名法</w:t>
            </w:r>
            <w:proofErr w:type="gramStart"/>
            <w:r>
              <w:rPr>
                <w:rFonts w:ascii="仿宋" w:eastAsia="仿宋" w:hAnsi="仿宋" w:cs="仿宋_GB2312" w:hint="eastAsia"/>
                <w:sz w:val="24"/>
                <w:szCs w:val="24"/>
              </w:rPr>
              <w:t>务</w:t>
            </w:r>
            <w:proofErr w:type="gramEnd"/>
            <w:r>
              <w:rPr>
                <w:rFonts w:ascii="仿宋" w:eastAsia="仿宋" w:hAnsi="仿宋" w:cs="仿宋_GB2312" w:hint="eastAsia"/>
                <w:sz w:val="24"/>
                <w:szCs w:val="24"/>
              </w:rPr>
              <w:t>人员的得4分。</w:t>
            </w:r>
          </w:p>
          <w:p w14:paraId="6B68C7BA" w14:textId="77777777" w:rsidR="003A4308" w:rsidRDefault="003A4308" w:rsidP="0066612B">
            <w:pPr>
              <w:rPr>
                <w:rFonts w:hint="eastAsia"/>
              </w:rPr>
            </w:pPr>
            <w:r>
              <w:rPr>
                <w:rFonts w:ascii="仿宋" w:eastAsia="仿宋" w:hAnsi="仿宋" w:cs="仿宋_GB2312" w:hint="eastAsia"/>
                <w:sz w:val="24"/>
                <w:szCs w:val="24"/>
              </w:rPr>
              <w:t>本项最多得19分。</w:t>
            </w:r>
          </w:p>
          <w:p w14:paraId="2DC3254E"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注：</w:t>
            </w:r>
          </w:p>
          <w:p w14:paraId="327AE931"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1、以上人员（除法</w:t>
            </w:r>
            <w:proofErr w:type="gramStart"/>
            <w:r>
              <w:rPr>
                <w:rFonts w:ascii="仿宋" w:eastAsia="仿宋" w:hAnsi="仿宋" w:cs="仿宋_GB2312" w:hint="eastAsia"/>
                <w:sz w:val="24"/>
                <w:szCs w:val="24"/>
              </w:rPr>
              <w:t>务</w:t>
            </w:r>
            <w:proofErr w:type="gramEnd"/>
            <w:r>
              <w:rPr>
                <w:rFonts w:ascii="仿宋" w:eastAsia="仿宋" w:hAnsi="仿宋" w:cs="仿宋_GB2312" w:hint="eastAsia"/>
                <w:sz w:val="24"/>
                <w:szCs w:val="24"/>
              </w:rPr>
              <w:t>人员外）均须提供相关有效证书复印件和在职证明材料（如社保清单截图）并加盖鲜</w:t>
            </w:r>
            <w:r>
              <w:rPr>
                <w:rFonts w:ascii="仿宋" w:eastAsia="仿宋" w:hAnsi="仿宋" w:cs="仿宋_GB2312" w:hint="eastAsia"/>
                <w:sz w:val="24"/>
                <w:szCs w:val="24"/>
              </w:rPr>
              <w:lastRenderedPageBreak/>
              <w:t xml:space="preserve">章。 </w:t>
            </w:r>
          </w:p>
          <w:p w14:paraId="3050DE0F"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2、由于疫情原因，省财政厅未组织政府采购代理机构专职人员进行继续教育培训，合格证明未在有效期内的，视为有效。3.法</w:t>
            </w:r>
            <w:proofErr w:type="gramStart"/>
            <w:r>
              <w:rPr>
                <w:rFonts w:ascii="仿宋" w:eastAsia="仿宋" w:hAnsi="仿宋" w:cs="仿宋_GB2312" w:hint="eastAsia"/>
                <w:sz w:val="24"/>
                <w:szCs w:val="24"/>
              </w:rPr>
              <w:t>务</w:t>
            </w:r>
            <w:proofErr w:type="gramEnd"/>
            <w:r>
              <w:rPr>
                <w:rFonts w:ascii="仿宋" w:eastAsia="仿宋" w:hAnsi="仿宋" w:cs="仿宋_GB2312" w:hint="eastAsia"/>
                <w:sz w:val="24"/>
                <w:szCs w:val="24"/>
              </w:rPr>
              <w:t>人员可提供</w:t>
            </w:r>
            <w:proofErr w:type="gramStart"/>
            <w:r>
              <w:rPr>
                <w:rFonts w:ascii="仿宋" w:eastAsia="仿宋" w:hAnsi="仿宋" w:cs="仿宋_GB2312" w:hint="eastAsia"/>
                <w:sz w:val="24"/>
                <w:szCs w:val="24"/>
              </w:rPr>
              <w:t>社保证明</w:t>
            </w:r>
            <w:proofErr w:type="gramEnd"/>
            <w:r>
              <w:rPr>
                <w:rFonts w:ascii="仿宋" w:eastAsia="仿宋" w:hAnsi="仿宋" w:cs="仿宋_GB2312" w:hint="eastAsia"/>
                <w:sz w:val="24"/>
                <w:szCs w:val="24"/>
              </w:rPr>
              <w:t>或聘用协议等相关证明资料。</w:t>
            </w:r>
          </w:p>
        </w:tc>
      </w:tr>
      <w:tr w:rsidR="003A4308" w14:paraId="0A49A0D8" w14:textId="77777777" w:rsidTr="0066612B">
        <w:tc>
          <w:tcPr>
            <w:tcW w:w="795" w:type="dxa"/>
            <w:tcBorders>
              <w:left w:val="single" w:sz="12" w:space="0" w:color="auto"/>
            </w:tcBorders>
            <w:vAlign w:val="center"/>
          </w:tcPr>
          <w:p w14:paraId="715B1AD0"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lastRenderedPageBreak/>
              <w:t>4</w:t>
            </w:r>
          </w:p>
        </w:tc>
        <w:tc>
          <w:tcPr>
            <w:tcW w:w="1569" w:type="dxa"/>
            <w:vAlign w:val="center"/>
          </w:tcPr>
          <w:p w14:paraId="4F2090E0"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履约能力</w:t>
            </w:r>
          </w:p>
          <w:p w14:paraId="2F62D032"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30.5%</w:t>
            </w:r>
          </w:p>
        </w:tc>
        <w:tc>
          <w:tcPr>
            <w:tcW w:w="1085" w:type="dxa"/>
            <w:vAlign w:val="center"/>
          </w:tcPr>
          <w:p w14:paraId="7CD9DA70"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30.5分</w:t>
            </w:r>
          </w:p>
        </w:tc>
        <w:tc>
          <w:tcPr>
            <w:tcW w:w="5855" w:type="dxa"/>
            <w:tcBorders>
              <w:right w:val="single" w:sz="12" w:space="0" w:color="auto"/>
            </w:tcBorders>
            <w:vAlign w:val="center"/>
          </w:tcPr>
          <w:p w14:paraId="4C9DF771"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比选申请人提供最近三年（2020年度、2021年度、2022年度）经四川省财政厅考核的四川省政府采购代理机构监督检查、考核情况统计表评审结果，连续三年评价为优秀或得分90分以上的得15分，连续两年评价为优秀或得分90分以上的得12分，一年评价为优秀或得分90分以上的得5分，连续三年评价为良或得分80分-89分的得8分，连续两年评价为良或得分80分-89分的得5分，一年评价为良或得分80分-89分的得3分。其余不得分。本项最多得15分。</w:t>
            </w:r>
          </w:p>
          <w:p w14:paraId="632A9486"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2、提供自2020年度以来政府采购代理业绩和代理业绩，每有1个得0.2分，本项最多得6分。</w:t>
            </w:r>
          </w:p>
          <w:p w14:paraId="7390B6C9" w14:textId="77777777" w:rsidR="003A4308" w:rsidRDefault="003A4308" w:rsidP="0066612B">
            <w:pPr>
              <w:rPr>
                <w:rFonts w:ascii="仿宋" w:eastAsia="仿宋" w:hAnsi="仿宋" w:cs="仿宋_GB2312"/>
                <w:sz w:val="24"/>
                <w:szCs w:val="24"/>
              </w:rPr>
            </w:pPr>
            <w:r>
              <w:rPr>
                <w:rFonts w:ascii="仿宋" w:eastAsia="仿宋" w:hAnsi="仿宋" w:cs="仿宋_GB2312" w:hint="eastAsia"/>
                <w:sz w:val="24"/>
                <w:szCs w:val="24"/>
              </w:rPr>
              <w:t>3、比选申请人在成都市范围内的办公及开评标场所：①面积，面积在办公场地面积在250㎡以内的得1分，250㎡-350㎡的得3分，350㎡以上的得5分。本项最多得5分。②具有独立的开评标室、监控、门禁等设备设施，具有一个开标室和一个评标室得1分，此基础上每增加1个开标室或评标室得1分，本项最多得5分。</w:t>
            </w:r>
          </w:p>
          <w:p w14:paraId="11C1429F"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4、比选申请人2019年至今荣获</w:t>
            </w:r>
            <w:proofErr w:type="gramStart"/>
            <w:r>
              <w:rPr>
                <w:rFonts w:ascii="仿宋" w:eastAsia="仿宋" w:hAnsi="仿宋" w:cs="仿宋_GB2312" w:hint="eastAsia"/>
                <w:sz w:val="24"/>
                <w:szCs w:val="24"/>
              </w:rPr>
              <w:t>过行业</w:t>
            </w:r>
            <w:proofErr w:type="gramEnd"/>
            <w:r>
              <w:rPr>
                <w:rFonts w:ascii="仿宋" w:eastAsia="仿宋" w:hAnsi="仿宋" w:cs="仿宋_GB2312" w:hint="eastAsia"/>
                <w:sz w:val="24"/>
                <w:szCs w:val="24"/>
              </w:rPr>
              <w:t>协会等颁发的相关荣誉，每有一个得1.5分，本项最多得4.5分；注：</w:t>
            </w:r>
          </w:p>
          <w:p w14:paraId="3E257C25"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1、提供相关证明材料，并加盖比选申请人鲜章。</w:t>
            </w:r>
          </w:p>
          <w:p w14:paraId="3F185BA0"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2、提供相关政府复印件，并加盖比选申请人鲜章。</w:t>
            </w:r>
          </w:p>
          <w:p w14:paraId="247FEE35"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3、政府采购业绩均须提供四川政府采购网或中国政府采购网采购公告/结果公告网页截图，并加盖比选申请人鲜章。</w:t>
            </w:r>
          </w:p>
          <w:p w14:paraId="5AE21C01"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4、办公及开评标场所提供比选申请人的办公及开评标场地照片和房屋产权证明复印件，或租房合同复印件，并加盖比选申请人公章。</w:t>
            </w:r>
          </w:p>
          <w:p w14:paraId="2F592769" w14:textId="77777777" w:rsidR="003A4308" w:rsidRDefault="003A4308" w:rsidP="0066612B">
            <w:pPr>
              <w:rPr>
                <w:rFonts w:ascii="仿宋" w:eastAsia="仿宋" w:hAnsi="仿宋" w:cs="仿宋_GB2312"/>
                <w:sz w:val="24"/>
                <w:szCs w:val="24"/>
              </w:rPr>
            </w:pPr>
            <w:r>
              <w:rPr>
                <w:rFonts w:ascii="仿宋" w:eastAsia="仿宋" w:hAnsi="仿宋" w:cs="仿宋_GB2312" w:hint="eastAsia"/>
                <w:sz w:val="24"/>
                <w:szCs w:val="24"/>
              </w:rPr>
              <w:t>5、提供有效证书复印件加盖比选申请人公章。</w:t>
            </w:r>
          </w:p>
        </w:tc>
      </w:tr>
      <w:tr w:rsidR="003A4308" w14:paraId="57E6CC48" w14:textId="77777777" w:rsidTr="0066612B">
        <w:tc>
          <w:tcPr>
            <w:tcW w:w="795" w:type="dxa"/>
            <w:tcBorders>
              <w:left w:val="single" w:sz="12" w:space="0" w:color="auto"/>
            </w:tcBorders>
            <w:vAlign w:val="center"/>
          </w:tcPr>
          <w:p w14:paraId="45AC2CB3"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5</w:t>
            </w:r>
          </w:p>
        </w:tc>
        <w:tc>
          <w:tcPr>
            <w:tcW w:w="1569" w:type="dxa"/>
            <w:vAlign w:val="center"/>
          </w:tcPr>
          <w:p w14:paraId="793BABA3" w14:textId="77777777" w:rsidR="003A4308" w:rsidRDefault="003A4308" w:rsidP="0066612B">
            <w:pPr>
              <w:rPr>
                <w:rFonts w:ascii="仿宋" w:eastAsia="仿宋" w:hAnsi="仿宋" w:cs="仿宋_GB2312" w:hint="eastAsia"/>
                <w:sz w:val="24"/>
                <w:szCs w:val="24"/>
                <w:lang w:val="zh-TW" w:eastAsia="zh-TW"/>
              </w:rPr>
            </w:pPr>
            <w:r>
              <w:rPr>
                <w:rFonts w:ascii="仿宋" w:eastAsia="仿宋" w:hAnsi="仿宋" w:cs="仿宋_GB2312" w:hint="eastAsia"/>
                <w:sz w:val="24"/>
                <w:szCs w:val="24"/>
                <w:lang w:val="zh-TW" w:eastAsia="zh-TW"/>
              </w:rPr>
              <w:t>受行政处罚</w:t>
            </w:r>
          </w:p>
          <w:p w14:paraId="0134798A" w14:textId="77777777" w:rsidR="003A4308" w:rsidRDefault="003A4308" w:rsidP="0066612B">
            <w:pPr>
              <w:rPr>
                <w:rFonts w:ascii="仿宋" w:eastAsia="仿宋" w:hAnsi="仿宋" w:cs="仿宋_GB2312" w:hint="eastAsia"/>
                <w:sz w:val="24"/>
                <w:szCs w:val="24"/>
                <w:lang w:val="zh-TW" w:eastAsia="zh-TW"/>
              </w:rPr>
            </w:pPr>
            <w:r>
              <w:rPr>
                <w:rFonts w:ascii="仿宋" w:eastAsia="仿宋" w:hAnsi="仿宋" w:cs="仿宋_GB2312" w:hint="eastAsia"/>
                <w:sz w:val="24"/>
                <w:szCs w:val="24"/>
                <w:lang w:val="zh-TW" w:eastAsia="zh-TW"/>
              </w:rPr>
              <w:t>情况</w:t>
            </w:r>
          </w:p>
          <w:p w14:paraId="55275735" w14:textId="77777777" w:rsidR="003A4308" w:rsidRDefault="003A4308" w:rsidP="0066612B">
            <w:pPr>
              <w:rPr>
                <w:rFonts w:ascii="仿宋" w:eastAsia="仿宋" w:hAnsi="仿宋" w:cs="仿宋_GB2312"/>
                <w:sz w:val="24"/>
                <w:szCs w:val="24"/>
              </w:rPr>
            </w:pPr>
            <w:r>
              <w:rPr>
                <w:rFonts w:ascii="仿宋" w:eastAsia="仿宋" w:hAnsi="仿宋" w:cs="仿宋_GB2312" w:hint="eastAsia"/>
                <w:sz w:val="24"/>
                <w:szCs w:val="24"/>
              </w:rPr>
              <w:t>0.5%</w:t>
            </w:r>
          </w:p>
        </w:tc>
        <w:tc>
          <w:tcPr>
            <w:tcW w:w="1085" w:type="dxa"/>
            <w:vAlign w:val="center"/>
          </w:tcPr>
          <w:p w14:paraId="61496F4F"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0.5分</w:t>
            </w:r>
          </w:p>
        </w:tc>
        <w:tc>
          <w:tcPr>
            <w:tcW w:w="5855" w:type="dxa"/>
            <w:tcBorders>
              <w:right w:val="single" w:sz="12" w:space="0" w:color="auto"/>
            </w:tcBorders>
            <w:vAlign w:val="center"/>
          </w:tcPr>
          <w:p w14:paraId="594013F2"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比选申请人承诺未被财政管理部门在四川政府采购网公示的行政处罚决定的得0.5分。受到过行政处罚的，每有一个扣</w:t>
            </w:r>
            <w:r>
              <w:rPr>
                <w:rFonts w:ascii="仿宋" w:eastAsia="仿宋" w:hAnsi="仿宋" w:cs="仿宋_GB2312"/>
                <w:sz w:val="24"/>
                <w:szCs w:val="24"/>
              </w:rPr>
              <w:t>0.</w:t>
            </w:r>
            <w:r>
              <w:rPr>
                <w:rFonts w:ascii="仿宋" w:eastAsia="仿宋" w:hAnsi="仿宋" w:cs="仿宋_GB2312" w:hint="eastAsia"/>
                <w:sz w:val="24"/>
                <w:szCs w:val="24"/>
              </w:rPr>
              <w:t>1分，扣完为止。</w:t>
            </w:r>
          </w:p>
          <w:p w14:paraId="0A4A1A7C" w14:textId="77777777" w:rsidR="003A4308" w:rsidRDefault="003A4308" w:rsidP="0066612B">
            <w:pPr>
              <w:rPr>
                <w:rFonts w:ascii="仿宋" w:eastAsia="仿宋" w:hAnsi="仿宋" w:cs="仿宋_GB2312" w:hint="eastAsia"/>
                <w:sz w:val="24"/>
                <w:szCs w:val="24"/>
              </w:rPr>
            </w:pPr>
            <w:r>
              <w:rPr>
                <w:rFonts w:ascii="仿宋" w:eastAsia="仿宋" w:hAnsi="仿宋" w:cs="仿宋_GB2312" w:hint="eastAsia"/>
                <w:sz w:val="24"/>
                <w:szCs w:val="24"/>
              </w:rPr>
              <w:t>注：提供承诺函，比选人将对承诺函真实性进行核实。</w:t>
            </w:r>
          </w:p>
        </w:tc>
      </w:tr>
    </w:tbl>
    <w:p w14:paraId="4C37B9B3" w14:textId="77777777" w:rsidR="003A4308" w:rsidRDefault="003A4308" w:rsidP="003A4308"/>
    <w:p w14:paraId="10DBF62D" w14:textId="77777777" w:rsidR="003A4308" w:rsidRDefault="003A4308" w:rsidP="003A4308">
      <w:pPr>
        <w:pStyle w:val="2"/>
        <w:ind w:leftChars="0" w:left="0" w:firstLineChars="0" w:firstLine="0"/>
      </w:pPr>
    </w:p>
    <w:p w14:paraId="75A3B273" w14:textId="77777777" w:rsidR="005F2B32" w:rsidRPr="003A4308" w:rsidRDefault="005F2B32"/>
    <w:sectPr w:rsidR="005F2B32" w:rsidRPr="003A430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D34F6"/>
    <w:multiLevelType w:val="singleLevel"/>
    <w:tmpl w:val="95ED34F6"/>
    <w:lvl w:ilvl="0">
      <w:start w:val="1"/>
      <w:numFmt w:val="decimalEnclosedCircleChinese"/>
      <w:suff w:val="nothing"/>
      <w:lvlText w:val="%1　"/>
      <w:lvlJc w:val="left"/>
      <w:pPr>
        <w:ind w:left="0" w:firstLine="400"/>
      </w:pPr>
      <w:rPr>
        <w:rFonts w:hint="eastAsia"/>
      </w:rPr>
    </w:lvl>
  </w:abstractNum>
  <w:abstractNum w:abstractNumId="1" w15:restartNumberingAfterBreak="0">
    <w:nsid w:val="30E9DC75"/>
    <w:multiLevelType w:val="singleLevel"/>
    <w:tmpl w:val="30E9DC75"/>
    <w:lvl w:ilvl="0">
      <w:start w:val="1"/>
      <w:numFmt w:val="decimalEnclosedCircleChinese"/>
      <w:suff w:val="nothing"/>
      <w:lvlText w:val="%1　"/>
      <w:lvlJc w:val="left"/>
      <w:pPr>
        <w:ind w:left="0" w:firstLine="400"/>
      </w:pPr>
      <w:rPr>
        <w:rFonts w:hint="eastAsia"/>
      </w:rPr>
    </w:lvl>
  </w:abstractNum>
  <w:num w:numId="1" w16cid:durableId="1635745636">
    <w:abstractNumId w:val="0"/>
  </w:num>
  <w:num w:numId="2" w16cid:durableId="4511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08"/>
    <w:rsid w:val="003A4308"/>
    <w:rsid w:val="005F2B32"/>
    <w:rsid w:val="0090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51A"/>
  <w15:chartTrackingRefBased/>
  <w15:docId w15:val="{E01FB284-0169-4E64-B67B-5D303A5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A4308"/>
    <w:pPr>
      <w:widowControl w:val="0"/>
      <w:jc w:val="both"/>
    </w:pPr>
    <w:rPr>
      <w:rFonts w:ascii="Calibri" w:eastAsia="宋体" w:hAnsi="Calibri" w:cs="宋体"/>
      <w:snapToGrid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A4308"/>
    <w:pPr>
      <w:spacing w:after="120"/>
      <w:ind w:leftChars="200" w:left="420"/>
    </w:pPr>
  </w:style>
  <w:style w:type="character" w:customStyle="1" w:styleId="a4">
    <w:name w:val="正文文本缩进 字符"/>
    <w:basedOn w:val="a0"/>
    <w:link w:val="a3"/>
    <w:uiPriority w:val="99"/>
    <w:semiHidden/>
    <w:rsid w:val="003A4308"/>
    <w:rPr>
      <w:rFonts w:ascii="Calibri" w:eastAsia="宋体" w:hAnsi="Calibri" w:cs="宋体"/>
      <w:snapToGrid w:val="0"/>
      <w:sz w:val="28"/>
      <w:szCs w:val="28"/>
    </w:rPr>
  </w:style>
  <w:style w:type="paragraph" w:styleId="2">
    <w:name w:val="Body Text First Indent 2"/>
    <w:basedOn w:val="a3"/>
    <w:link w:val="20"/>
    <w:unhideWhenUsed/>
    <w:rsid w:val="003A4308"/>
    <w:pPr>
      <w:ind w:firstLineChars="200" w:firstLine="420"/>
    </w:pPr>
  </w:style>
  <w:style w:type="character" w:customStyle="1" w:styleId="20">
    <w:name w:val="正文文本首行缩进 2 字符"/>
    <w:basedOn w:val="a4"/>
    <w:link w:val="2"/>
    <w:rsid w:val="003A4308"/>
    <w:rPr>
      <w:rFonts w:ascii="Calibri" w:eastAsia="宋体" w:hAnsi="Calibri" w:cs="宋体"/>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 建新</dc:creator>
  <cp:keywords/>
  <dc:description/>
  <cp:lastModifiedBy>柏 建新</cp:lastModifiedBy>
  <cp:revision>1</cp:revision>
  <dcterms:created xsi:type="dcterms:W3CDTF">2023-06-01T08:53:00Z</dcterms:created>
  <dcterms:modified xsi:type="dcterms:W3CDTF">2023-06-01T08:53:00Z</dcterms:modified>
</cp:coreProperties>
</file>